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600"/>
      </w:pPr>
    </w:p>
    <w:p>
      <w:pPr>
        <w:spacing w:after="80" w:before="0" w:line="298" w:lineRule="auto"/>
        <w:contextualSpacing/>
        <w:jc w:val="center"/>
      </w:pPr>
      <w:r>
        <w:rPr>
          <w:rFonts w:ascii="Calibri" w:cs="Calibri" w:eastAsia="Calibri" w:hAnsi="Calibri"/>
          <w:b/>
          <w:bCs/>
          <w:i w:val="false"/>
          <w:iCs w:val="false"/>
          <w:caps/>
          <w:color w:val="6B7C93"/>
          <w:spacing w:val="60"/>
          <w:sz w:val="18"/>
          <w:szCs w:val="18"/>
        </w:rPr>
        <w:t xml:space="preserve">WORKING PAPER  |  EAD-2026-01</w:t>
      </w:r>
    </w:p>
    <w:p>
      <w:pPr>
        <w:spacing w:after="180" w:before="0"/>
        <w:jc w:val="center"/>
      </w:pPr>
      <w:r>
        <w:rPr>
          <w:rFonts w:ascii="Calibri" w:cs="Calibri" w:eastAsia="Calibri" w:hAnsi="Calibri"/>
          <w:b/>
          <w:bCs/>
          <w:i w:val="false"/>
          <w:iCs w:val="false"/>
          <w:caps w:val="false"/>
          <w:color w:val="1B3A6B"/>
          <w:sz w:val="52"/>
          <w:szCs w:val="52"/>
        </w:rPr>
        <w:t xml:space="preserve">External AI Dependence
and Startup Financial Survivability</w:t>
      </w:r>
    </w:p>
    <w:p>
      <w:pPr>
        <w:spacing w:after="400" w:before="0"/>
        <w:jc w:val="center"/>
      </w:pPr>
      <w:r>
        <w:rPr>
          <w:rFonts w:ascii="Calibri" w:cs="Calibri" w:eastAsia="Calibri" w:hAnsi="Calibri"/>
          <w:b w:val="false"/>
          <w:bCs w:val="false"/>
          <w:i/>
          <w:iCs/>
          <w:caps w:val="false"/>
          <w:color w:val="3D5166"/>
          <w:sz w:val="26"/>
          <w:szCs w:val="26"/>
        </w:rPr>
        <w:t xml:space="preserve">How Dependence on Externally Owned AI Infrastructure
Affects the Financial Survivability of Independent Businesses</w:t>
      </w:r>
    </w:p>
    <w:p>
      <w:pPr>
        <w:pBdr>
          <w:bottom w:val="single" w:color="1B3A6B" w:sz="4"/>
        </w:pBdr>
        <w:spacing w:after="160" w:before="160"/>
      </w:pPr>
    </w:p>
    <w:p>
      <w:pPr>
        <w:spacing w:after="120" w:before="60"/>
      </w:pPr>
    </w:p>
    <w:p>
      <w:pPr>
        <w:spacing w:after="40" w:before="0" w:line="298" w:lineRule="auto"/>
        <w:contextualSpacing/>
        <w:jc w:val="center"/>
      </w:pPr>
      <w:r>
        <w:rPr>
          <w:rFonts w:ascii="Calibri" w:cs="Calibri" w:eastAsia="Calibri" w:hAnsi="Calibri"/>
          <w:b w:val="false"/>
          <w:bCs w:val="false"/>
          <w:i/>
          <w:iCs/>
          <w:caps w:val="false"/>
          <w:color w:val="6B7C93"/>
          <w:sz w:val="20"/>
          <w:szCs w:val="20"/>
        </w:rPr>
        <w:t xml:space="preserve">Research by</w:t>
      </w:r>
    </w:p>
    <w:p>
      <w:pPr>
        <w:spacing w:after="40" w:before="0" w:line="298" w:lineRule="auto"/>
        <w:contextualSpacing/>
        <w:jc w:val="center"/>
      </w:pPr>
      <w:r>
        <w:rPr>
          <w:rFonts w:ascii="Calibri" w:cs="Calibri" w:eastAsia="Calibri" w:hAnsi="Calibri"/>
          <w:b/>
          <w:bCs/>
          <w:i w:val="false"/>
          <w:iCs w:val="false"/>
          <w:caps w:val="false"/>
          <w:color w:val="1B3A6B"/>
          <w:sz w:val="30"/>
          <w:szCs w:val="30"/>
        </w:rPr>
        <w:t xml:space="preserve">Shubham Agarwal</w:t>
      </w:r>
    </w:p>
    <w:p>
      <w:pPr>
        <w:spacing w:after="200" w:before="0" w:line="298" w:lineRule="auto"/>
        <w:contextualSpacing/>
        <w:jc w:val="center"/>
      </w:pPr>
      <w:r>
        <w:rPr>
          <w:rFonts w:ascii="Calibri" w:cs="Calibri" w:eastAsia="Calibri" w:hAnsi="Calibri"/>
          <w:b w:val="false"/>
          <w:bCs w:val="false"/>
          <w:i/>
          <w:iCs/>
          <w:caps w:val="false"/>
          <w:color w:val="3D5166"/>
          <w:sz w:val="22"/>
          <w:szCs w:val="22"/>
        </w:rPr>
        <w:t xml:space="preserve">Founder and Chief Executive Officer, triNetra</w:t>
      </w:r>
    </w:p>
    <w:p>
      <w:pPr>
        <w:spacing w:after="40" w:before="0" w:line="298" w:lineRule="auto"/>
        <w:contextualSpacing/>
        <w:jc w:val="center"/>
      </w:pPr>
      <w:r>
        <w:rPr>
          <w:rFonts w:ascii="Calibri" w:cs="Calibri" w:eastAsia="Calibri" w:hAnsi="Calibri"/>
          <w:b w:val="false"/>
          <w:bCs w:val="false"/>
          <w:i w:val="false"/>
          <w:iCs w:val="false"/>
          <w:caps w:val="false"/>
          <w:color w:val="6B7C93"/>
          <w:sz w:val="20"/>
          <w:szCs w:val="20"/>
        </w:rPr>
        <w:t xml:space="preserve">July 2026</w:t>
      </w:r>
    </w:p>
    <w:p>
      <w:pPr>
        <w:spacing w:after="240" w:before="0" w:line="298" w:lineRule="auto"/>
        <w:contextualSpacing/>
        <w:jc w:val="center"/>
      </w:pPr>
      <w:r>
        <w:rPr>
          <w:rFonts w:ascii="Calibri" w:cs="Calibri" w:eastAsia="Calibri" w:hAnsi="Calibri"/>
          <w:b w:val="false"/>
          <w:bCs w:val="false"/>
          <w:i/>
          <w:iCs/>
          <w:caps w:val="false"/>
          <w:color w:val="506070"/>
          <w:sz w:val="18"/>
          <w:szCs w:val="18"/>
        </w:rPr>
        <w:t xml:space="preserve">Coverage: United States  ·  China  ·  Germany  ·  Japan  ·  India  ·  United Kingdom  ·  France  ·  Brazil  ·  Canada  ·  South Korea</w:t>
      </w:r>
    </w:p>
    <w:p>
      <w:pPr>
        <w:spacing w:after="120" w:before="120"/>
      </w:pPr>
    </w:p>
    <w:p>
      <w:pPr>
        <w:spacing w:after="60" w:before="220" w:line="298" w:lineRule="auto"/>
        <w:contextualSpacing/>
        <w:jc w:val="both"/>
      </w:pPr>
      <w:r>
        <w:rPr>
          <w:rFonts w:ascii="Calibri" w:cs="Calibri" w:eastAsia="Calibri" w:hAnsi="Calibri"/>
          <w:b/>
          <w:bCs/>
          <w:i w:val="false"/>
          <w:iCs w:val="false"/>
          <w:caps/>
          <w:color w:val="3D5166"/>
          <w:spacing w:val="40"/>
          <w:sz w:val="18"/>
          <w:szCs w:val="18"/>
        </w:rPr>
        <w:t xml:space="preserve">PRIMARY DATA SOURCES</w:t>
      </w:r>
    </w:p>
    <w:p>
      <w:pPr>
        <w:spacing w:after="0" w:before="0" w:line="298" w:lineRule="auto"/>
        <w:contextualSpacing/>
        <w:jc w:val="center"/>
      </w:pPr>
      <w:r>
        <w:rPr>
          <w:rFonts w:ascii="Calibri" w:cs="Calibri" w:eastAsia="Calibri" w:hAnsi="Calibri"/>
          <w:b w:val="false"/>
          <w:bCs w:val="false"/>
          <w:i/>
          <w:iCs/>
          <w:caps w:val="false"/>
          <w:color w:val="6B7C93"/>
          <w:sz w:val="18"/>
          <w:szCs w:val="18"/>
        </w:rPr>
        <w:t xml:space="preserve">Stanford HAI  ·  IMF  ·  Federal Reserve  ·  OECD  ·  World Bank  ·  BCG  ·  McKinsey Global Institute  ·  RAND Corporation  ·  MIT NANDA  ·  CNAS  ·  US BLS  ·  UK ONS  ·  EY  ·  PIIE</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ABOUT THE AUTHOR</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Shubham Agarwal is the Founder and Chief Executive Officer of triNetra, an independent research and strategy organisation focused on the economics of artificial intelligence, digital infrastructure, and entrepreneurial competitiveness across emerging and advanced economies.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working paper represents an original research contribution by the author. The External AI Dependence (EAD) framework, the External AI Dependence Index (EADI), the Builder-Dependent Ratio, the AI Dependence Classification for sectors, and the Specialized Digital Asset hierarchy are analytical frameworks proposed by the author and intended for ongoing empirical validation and refinement by the research community.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analysis draws on publicly available data from eighteen primary institutional sources, all cited in full. The views expressed are those of the author and do not represent the positions of any government, international organisation, or third-party institution referenced in this paper.</w:t>
      </w:r>
    </w:p>
    <w:p>
      <w:pPr>
        <w:spacing w:after="120" w:before="80"/>
      </w:pPr>
    </w:p>
    <w:p>
      <w:pPr>
        <w:pBdr>
          <w:bottom w:val="single" w:color="EBF0F5" w:sz="2"/>
        </w:pBdr>
        <w:spacing w:after="80" w:before="80"/>
      </w:pPr>
    </w:p>
    <w:p>
      <w:pPr>
        <w:spacing w:after="120" w:before="60"/>
      </w:pPr>
    </w:p>
    <w:p>
      <w:pPr>
        <w:spacing w:after="0" w:before="80" w:line="298" w:lineRule="auto"/>
        <w:contextualSpacing/>
        <w:jc w:val="both"/>
      </w:pPr>
      <w:r>
        <w:rPr>
          <w:rFonts w:ascii="Calibri" w:cs="Calibri" w:eastAsia="Calibri" w:hAnsi="Calibri"/>
          <w:b/>
          <w:bCs/>
          <w:i w:val="false"/>
          <w:iCs w:val="false"/>
          <w:caps w:val="false"/>
          <w:color w:val="1B3A6B"/>
          <w:sz w:val="20"/>
          <w:szCs w:val="20"/>
        </w:rPr>
        <w:t xml:space="preserve">Suggested citation:  </w:t>
      </w:r>
      <w:r>
        <w:rPr>
          <w:rFonts w:ascii="Calibri" w:cs="Calibri" w:eastAsia="Calibri" w:hAnsi="Calibri"/>
          <w:b w:val="false"/>
          <w:bCs w:val="false"/>
          <w:i/>
          <w:iCs/>
          <w:caps w:val="false"/>
          <w:color w:val="506070"/>
          <w:sz w:val="20"/>
          <w:szCs w:val="20"/>
        </w:rPr>
        <w:t xml:space="preserve">Agarwal, S. (2026). External AI dependence and startup financial survivability: How dependence on externally owned AI infrastructure affects the financial survivability of independent businesses. triNetra Research Working Paper EAD-2026-01.</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EXECUTIVE SUMMARY</w:t>
      </w:r>
    </w:p>
    <w:p>
      <w:pPr>
        <w:spacing w:after="200" w:before="0" w:line="298" w:lineRule="auto"/>
        <w:contextualSpacing/>
        <w:jc w:val="left"/>
      </w:pPr>
      <w:r>
        <w:rPr>
          <w:rFonts w:ascii="Calibri" w:cs="Calibri" w:eastAsia="Calibri" w:hAnsi="Calibri"/>
          <w:b w:val="false"/>
          <w:bCs w:val="false"/>
          <w:i/>
          <w:iCs/>
          <w:caps w:val="false"/>
          <w:color w:val="3D5166"/>
          <w:sz w:val="24"/>
          <w:szCs w:val="24"/>
        </w:rPr>
        <w:t xml:space="preserve">This paper examines one economic question: how dependence on externally owned AI infrastructure is associated with the financial survivability of independent businesses.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Independent businesses in economies with high or critical External AI Dependence (EAD) face a structural cost layer absent from conventional startup economics. The tools required to remain competitive are priced in a foreign currency, controlled by foreign commercial entities, and subject to pricing decisions made in a jurisdiction those businesses cannot influence. Expressed in local-income terms, this layer is material: it amounts to approximately 12-20% of average annual formal income in India and Brazil, compared with approximately 1.5% in the United States. Both pay the same nominal price.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paper argues that high AI adoption in a high-EAD environment is not, by itself, a competitive advantage. It may represent a financial liability with five compounding mechanisms: currency-denominated cost asymmetry, price trajectory risk from investor-subsidised pricing, competitive asymmetry between large and small firms, switching costs that accumulate with platform integration, and the financial amplification of AI project failures in local-currency terms.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strategic response this paper proposes is not to avoid AI. General-purpose AI infrastructure provides genuine and measurable productive capability. The response is to use that infrastructure deliberately while progressively converting rented capability into Specialized Digital Assets: proprietary resources that encode unique knowledge, domain expertise, workflows, and accumulated intelligence in forms that compound in value and remain under the business's control regardless of which platform provides the underlying computation.</w:t>
      </w:r>
    </w:p>
    <w:p>
      <w:pPr>
        <w:spacing w:after="120" w:before="60"/>
      </w:pPr>
    </w:p>
    <w:p>
      <w:pPr>
        <w:pStyle w:val="Heading3"/>
        <w:spacing w:after="80" w:before="280"/>
      </w:pPr>
      <w:r>
        <w:rPr>
          <w:rFonts w:ascii="Calibri" w:cs="Calibri" w:eastAsia="Calibri" w:hAnsi="Calibri"/>
          <w:b/>
          <w:bCs/>
          <w:i w:val="false"/>
          <w:iCs w:val="false"/>
          <w:caps w:val="false"/>
          <w:color w:val="3D5166"/>
          <w:sz w:val="24"/>
          <w:szCs w:val="24"/>
        </w:rPr>
        <w:t xml:space="preserve">Primary Research Question</w:t>
      </w:r>
    </w:p>
    <w:p>
      <w:pPr>
        <w:shd w:fill="1B3A6B" w:val="clear"/>
        <w:spacing w:after="240" w:before="240"/>
        <w:ind w:left="440" w:right="440"/>
        <w:jc w:val="left"/>
      </w:pPr>
      <w:r>
        <w:rPr>
          <w:rFonts w:ascii="Calibri" w:cs="Calibri" w:eastAsia="Calibri" w:hAnsi="Calibri"/>
          <w:b/>
          <w:bCs/>
          <w:i w:val="false"/>
          <w:iCs w:val="false"/>
          <w:caps w:val="false"/>
          <w:color w:val="FFFFFF"/>
          <w:sz w:val="22"/>
          <w:szCs w:val="22"/>
        </w:rPr>
        <w:t xml:space="preserve">How does dependence on externally owned AI infrastructure affect the financial survivability of independent businesses operating in AI-intensive sectors?</w:t>
      </w:r>
    </w:p>
    <w:p>
      <w:pPr>
        <w:spacing w:after="120" w:before="60"/>
      </w:pPr>
    </w:p>
    <w:p>
      <w:pPr>
        <w:pStyle w:val="Heading3"/>
        <w:spacing w:after="80" w:before="280"/>
      </w:pPr>
      <w:r>
        <w:rPr>
          <w:rFonts w:ascii="Calibri" w:cs="Calibri" w:eastAsia="Calibri" w:hAnsi="Calibri"/>
          <w:b/>
          <w:bCs/>
          <w:i w:val="false"/>
          <w:iCs w:val="false"/>
          <w:caps w:val="false"/>
          <w:color w:val="3D5166"/>
          <w:sz w:val="24"/>
          <w:szCs w:val="24"/>
        </w:rPr>
        <w:t xml:space="preserve">Core Findings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1.  </w:t>
      </w:r>
      <w:r>
        <w:rPr>
          <w:rFonts w:ascii="Calibri" w:cs="Calibri" w:eastAsia="Calibri" w:hAnsi="Calibri"/>
          <w:b w:val="false"/>
          <w:bCs w:val="false"/>
          <w:i w:val="false"/>
          <w:iCs w:val="false"/>
          <w:caps w:val="false"/>
          <w:color w:val="1C1C2E"/>
          <w:sz w:val="22"/>
          <w:szCs w:val="22"/>
        </w:rPr>
        <w:t xml:space="preserve">Independent businesses in high-dependence economies pay the same nominal USD price for AI tools as businesses in source economies while absorbing substantially higher income-adjusted costs. This structural asymmetry appears to have no close precedent in prior general-purpose technology adoption cycles.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2.  </w:t>
      </w:r>
      <w:r>
        <w:rPr>
          <w:rFonts w:ascii="Calibri" w:cs="Calibri" w:eastAsia="Calibri" w:hAnsi="Calibri"/>
          <w:b w:val="false"/>
          <w:bCs w:val="false"/>
          <w:i w:val="false"/>
          <w:iCs w:val="false"/>
          <w:caps w:val="false"/>
          <w:color w:val="1C1C2E"/>
          <w:sz w:val="22"/>
          <w:szCs w:val="22"/>
        </w:rPr>
        <w:t xml:space="preserve">In high-dependence economies, sectors showing the highest AI adoption rates also tend to show the lowest own-AI capability -- a configuration associated with heightened structural vulnerability rather than competitive strength.</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3.  </w:t>
      </w:r>
      <w:r>
        <w:rPr>
          <w:rFonts w:ascii="Calibri" w:cs="Calibri" w:eastAsia="Calibri" w:hAnsi="Calibri"/>
          <w:b w:val="false"/>
          <w:bCs w:val="false"/>
          <w:i w:val="false"/>
          <w:iCs w:val="false"/>
          <w:caps w:val="false"/>
          <w:color w:val="1C1C2E"/>
          <w:sz w:val="22"/>
          <w:szCs w:val="22"/>
        </w:rPr>
        <w:t xml:space="preserve">Current AI subscription prices appear to be structurally below the cost of delivery, with the gap funded by investor capital. If and when that subsidy ends, dependent businesses would absorb price increases as USD-denominated operating costs on local-currency revenues, without a domestic alternative.</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4.  </w:t>
      </w:r>
      <w:r>
        <w:rPr>
          <w:rFonts w:ascii="Calibri" w:cs="Calibri" w:eastAsia="Calibri" w:hAnsi="Calibri"/>
          <w:b w:val="false"/>
          <w:bCs w:val="false"/>
          <w:i w:val="false"/>
          <w:iCs w:val="false"/>
          <w:caps w:val="false"/>
          <w:color w:val="1C1C2E"/>
          <w:sz w:val="22"/>
          <w:szCs w:val="22"/>
        </w:rPr>
        <w:t xml:space="preserve">The most durable path to financial resilience is the progressive conversion of rented AI capability into Specialized Digital Assets: domain-specific knowledge systems, proprietary datasets, industry-specific workflows, and sector-focused products that encode expertise general-purpose platforms cannot replicate.</w:t>
      </w:r>
    </w:p>
    <w:p>
      <w:pPr>
        <w:spacing w:after="120" w:before="60"/>
      </w:pPr>
    </w:p>
    <w:p>
      <w:pPr>
        <w:pStyle w:val="Heading3"/>
        <w:spacing w:after="80" w:before="280"/>
      </w:pPr>
      <w:r>
        <w:rPr>
          <w:rFonts w:ascii="Calibri" w:cs="Calibri" w:eastAsia="Calibri" w:hAnsi="Calibri"/>
          <w:b/>
          <w:bCs/>
          <w:i w:val="false"/>
          <w:iCs w:val="false"/>
          <w:caps w:val="false"/>
          <w:color w:val="3D5166"/>
          <w:sz w:val="24"/>
          <w:szCs w:val="24"/>
        </w:rPr>
        <w:t xml:space="preserve">Analytical Contributions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paper proposes four analytical frameworks for cross-country comparison and further empirical investigation. First, External AI Dependence (EAD) as a measurable structural economic variable with implications for startup survivability. Second, the External AI Dependence Index (EADI) as a prototype quantitative instrument. Third, the AI Dependence Classification, linking sector-level AI intensity to financial survivability risk. Fourth, the Specialized Digital Asset hierarchy, distinguishing between general-purpose AI infrastructure -- widely available, increasingly commoditising -- and specialized owned assets that capture domain-specific value.</w:t>
      </w:r>
    </w:p>
    <w:p>
      <w:pPr>
        <w:spacing w:after="120" w:before="60"/>
      </w:pPr>
    </w:p>
    <w:p>
      <w:pPr>
        <w:pStyle w:val="Heading3"/>
        <w:spacing w:after="80" w:before="280"/>
      </w:pPr>
      <w:r>
        <w:rPr>
          <w:rFonts w:ascii="Calibri" w:cs="Calibri" w:eastAsia="Calibri" w:hAnsi="Calibri"/>
          <w:b/>
          <w:bCs/>
          <w:i w:val="false"/>
          <w:iCs w:val="false"/>
          <w:caps w:val="false"/>
          <w:color w:val="3D5166"/>
          <w:sz w:val="24"/>
          <w:szCs w:val="24"/>
        </w:rPr>
        <w:t xml:space="preserve">Central Causal Framework</w:t>
      </w:r>
    </w:p>
    <w:p>
      <w:pPr>
        <w:spacing w:after="120" w:before="40"/>
      </w:pPr>
    </w:p>
    <w:p>
      <w:pPr>
        <w:spacing w:after="40" w:before="60"/>
      </w:pPr>
      <w:r>
        <w:rPr>
          <w:rFonts w:ascii="Calibri" w:cs="Calibri" w:eastAsia="Calibri" w:hAnsi="Calibri"/>
          <w:b/>
          <w:bCs/>
          <w:i w:val="false"/>
          <w:iCs w:val="false"/>
          <w:caps w:val="false"/>
          <w:color w:val="1B3A6B"/>
          <w:sz w:val="20"/>
          <w:szCs w:val="20"/>
        </w:rPr>
        <w:t xml:space="preserve">Figure 1.  </w:t>
      </w:r>
      <w:r>
        <w:rPr>
          <w:rFonts w:ascii="Calibri" w:cs="Calibri" w:eastAsia="Calibri" w:hAnsi="Calibri"/>
          <w:b w:val="false"/>
          <w:bCs w:val="false"/>
          <w:i/>
          <w:iCs/>
          <w:caps w:val="false"/>
          <w:color w:val="3D5166"/>
          <w:sz w:val="20"/>
          <w:szCs w:val="20"/>
        </w:rPr>
        <w:t xml:space="preserve">From External AI Dependence to Long-Term Economic Dependence</w:t>
      </w:r>
    </w:p>
    <w:p>
      <w:pPr>
        <w:spacing w:after="120" w:before="0" w:line="298" w:lineRule="auto"/>
        <w:contextualSpacing/>
        <w:jc w:val="both"/>
      </w:pPr>
      <w:r>
        <w:rPr>
          <w:rFonts w:ascii="Calibri" w:cs="Calibri" w:eastAsia="Calibri" w:hAnsi="Calibri"/>
          <w:b w:val="false"/>
          <w:bCs w:val="false"/>
          <w:i/>
          <w:iCs/>
          <w:caps w:val="false"/>
          <w:color w:val="506070"/>
          <w:sz w:val="19"/>
          <w:szCs w:val="19"/>
        </w:rPr>
        <w:t xml:space="preserve">The proposed causal chain. Each stage is examined in a dedicated chapter.</w:t>
      </w:r>
    </w:p>
    <w:p>
      <w:pPr>
        <w:spacing w:after="120" w:before="40"/>
      </w:pP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1B3A6B"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External AI Dependence  (EAD / EADI Score)</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Foundation models  ·  Cloud compute  ·  AI chips  --  general-purpose infrastructure, foreign-owned</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3D5166"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Recurring AI Operating Cost</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USD-denominated subscriptions  ·  API fees  ·  cloud costs</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A0611A"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Financial Exposure</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Currency risk  ·  price trajectory risk  ·  platform lock-in  ·  failure cost amplification</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8C213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Reduced Startup Survivability</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Lower year-5 survival probability  ·  cost asymmetry vs large firms  ·  no domestic exit option</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50505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Absence of Specialized Digital Assets</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Domain knowledge  ·  sector datasets  ·  industry workflows  ·  specialized products -- not developed</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50607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Long-Term Economic Dependence</w:t>
            </w:r>
          </w:p>
        </w:tc>
      </w:tr>
    </w:tbl>
    <w:p>
      <w:pPr>
        <w:spacing w:after="100" w:before="40" w:line="298" w:lineRule="auto"/>
        <w:contextualSpacing/>
        <w:jc w:val="center"/>
      </w:pPr>
      <w:r>
        <w:rPr>
          <w:rFonts w:ascii="Calibri" w:cs="Calibri" w:eastAsia="Calibri" w:hAnsi="Calibri"/>
          <w:b w:val="false"/>
          <w:bCs w:val="false"/>
          <w:i/>
          <w:iCs/>
          <w:caps w:val="false"/>
          <w:color w:val="6B7C93"/>
          <w:sz w:val="19"/>
          <w:szCs w:val="19"/>
        </w:rPr>
        <w:t xml:space="preserve">Structural exposure to foreign platform pricing, policy, and competitive decisions</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Agarwal, S. (2026). Proposed analytical framework. triNetra Research.</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1: THE PROBLEM</w:t>
      </w:r>
    </w:p>
    <w:p>
      <w:pPr>
        <w:spacing w:after="200" w:before="0" w:line="298" w:lineRule="auto"/>
        <w:contextualSpacing/>
        <w:jc w:val="left"/>
      </w:pPr>
      <w:r>
        <w:rPr>
          <w:rFonts w:ascii="Calibri" w:cs="Calibri" w:eastAsia="Calibri" w:hAnsi="Calibri"/>
          <w:b w:val="false"/>
          <w:bCs w:val="false"/>
          <w:i/>
          <w:iCs/>
          <w:caps w:val="false"/>
          <w:color w:val="3D5166"/>
          <w:sz w:val="24"/>
          <w:szCs w:val="24"/>
        </w:rPr>
        <w:t xml:space="preserve">An independent business operating in 2026 faces a structural cost condition that earlier generations of entrepreneurs did not: the tools required to remain competitive are concentrated in the ownership of a small number of foreign commercial entities.</w:t>
      </w:r>
    </w:p>
    <w:p>
      <w:pPr>
        <w:pStyle w:val="Heading2"/>
        <w:spacing w:after="120" w:before="400"/>
      </w:pPr>
      <w:r>
        <w:rPr>
          <w:rFonts w:ascii="Calibri" w:cs="Calibri" w:eastAsia="Calibri" w:hAnsi="Calibri"/>
          <w:b/>
          <w:bCs/>
          <w:i w:val="false"/>
          <w:iCs w:val="false"/>
          <w:caps w:val="false"/>
          <w:color w:val="1B3A6B"/>
          <w:sz w:val="28"/>
          <w:szCs w:val="28"/>
        </w:rPr>
        <w:t xml:space="preserve">1.1  The Structural Shift Since 2022</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General-purpose AI tools -- for research, analysis, writing, code generation, and operational decision support -- have embedded themselves in the daily functioning of businesses across most sectors. This embedding is not neutral. Unlike prior productivity software, the dominant AI infrastructure has concentrated in ownership in ways that create recurring financial dependencies for businesses that do not operate within the source jurisdictions.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Available evidence suggests that the United States and China together control approximately 90% of the computing capacity required for frontier AI development and own all 50 of the top-ranked foundation models currently tracked (CNAS, 2026). Amazon Web Services, Microsoft Azure, and Google Cloud Platform together hold approximately 63% of global cloud infrastructure market share (Synergy Research Group, Q1 2026). Within the scope of this study, this degree of concentration in a general-purpose productivity technology appears greater than what was observed in prior cycles of adoption -- from enterprise software to internet infrastructure to cloud computing -- at comparable stages of diffusion.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For an independent business in a dependent economy, the economic consequence is specific: every AI-enabled operation generates a recurring USD-denominated cost on a local-currency revenue base, controlled by entities the business cannot influence, and subject to repricing decisions it cannot anticipate. This is the structural origin of the financial exposure this paper analyses.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It is worth stating what this paper does not argue. It does not argue that general-purpose AI infrastructure is harmful, that its owners behave badly, or that dependent businesses should avoid using it. The tools are productive. The problem is the structure of permanent dependence on rented capability, not the use of AI itself.</w:t>
      </w:r>
    </w:p>
    <w:p>
      <w:pPr>
        <w:pStyle w:val="Heading2"/>
        <w:spacing w:after="120" w:before="400"/>
      </w:pPr>
      <w:r>
        <w:rPr>
          <w:rFonts w:ascii="Calibri" w:cs="Calibri" w:eastAsia="Calibri" w:hAnsi="Calibri"/>
          <w:b/>
          <w:bCs/>
          <w:i w:val="false"/>
          <w:iCs w:val="false"/>
          <w:caps w:val="false"/>
          <w:color w:val="1B3A6B"/>
          <w:sz w:val="28"/>
          <w:szCs w:val="28"/>
        </w:rPr>
        <w:t xml:space="preserve">1.2  Defining External AI Dependence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paper defines External AI Dependence (EAD) as the degree to which an independent business's operations rely on foreign-owned AI models, cloud compute, and foundational infrastructure to remain competitive, and the recurring financial liabilities and structural operational constraints that dependence creates.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proposed EAD framework identifies three compounding dependency layers, each deepening the structural exposure of those above it.</w:t>
      </w:r>
    </w:p>
    <w:p>
      <w:pPr>
        <w:spacing w:after="60" w:before="200"/>
      </w:pPr>
      <w:r>
        <w:rPr>
          <w:rFonts w:ascii="Calibri" w:cs="Calibri" w:eastAsia="Calibri" w:hAnsi="Calibri"/>
          <w:b/>
          <w:bCs/>
          <w:i w:val="false"/>
          <w:iCs w:val="false"/>
          <w:caps w:val="false"/>
          <w:color w:val="1B3A6B"/>
          <w:sz w:val="20"/>
          <w:szCs w:val="20"/>
        </w:rPr>
        <w:t xml:space="preserve">Table 1-1.  </w:t>
      </w:r>
      <w:r>
        <w:rPr>
          <w:rFonts w:ascii="Calibri" w:cs="Calibri" w:eastAsia="Calibri" w:hAnsi="Calibri"/>
          <w:b w:val="false"/>
          <w:bCs w:val="false"/>
          <w:i/>
          <w:iCs/>
          <w:caps w:val="false"/>
          <w:color w:val="3D5166"/>
          <w:sz w:val="20"/>
          <w:szCs w:val="20"/>
        </w:rPr>
        <w:t xml:space="preserve">The Three-Layer AI Dependency Stack</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000"/>
        <w:gridCol w:w="2200"/>
        <w:gridCol w:w="2700"/>
        <w:gridCol w:w="3172"/>
      </w:tblGrid>
      <w:tr>
        <w:trPr>
          <w:tblHeader/>
        </w:trPr>
        <w:tc>
          <w:tcPr>
            <w:tcW w:type="dxa" w:w="10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Layer</w:t>
            </w:r>
          </w:p>
        </w:tc>
        <w:tc>
          <w:tcPr>
            <w:tcW w:type="dxa" w:w="2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What it provides</w:t>
            </w:r>
          </w:p>
        </w:tc>
        <w:tc>
          <w:tcPr>
            <w:tcW w:type="dxa" w:w="2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Who controls it (2026)</w:t>
            </w:r>
          </w:p>
        </w:tc>
        <w:tc>
          <w:tcPr>
            <w:tcW w:type="dxa" w:w="31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Nature of dependence</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Models</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intelligence layer: large language models and reasoning systems on which downstream applications depend</w:t>
            </w:r>
          </w:p>
        </w:tc>
        <w:tc>
          <w:tcPr>
            <w:tcW w:type="dxa" w:w="2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OpenAI, Anthropic, Google, Meta (US); Baidu, Alibaba, DeepSeek (China)</w:t>
            </w:r>
          </w:p>
        </w:tc>
        <w:tc>
          <w:tcPr>
            <w:tcW w:type="dxa" w:w="31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Pricing risk; capability trajectory set externally; switching costs from embedded workflows; policy decisions made in a foreign jurisdiction</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Cloud Compute</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infrastructure layer: data centres where models serve outputs and business data is processed</w:t>
            </w:r>
          </w:p>
        </w:tc>
        <w:tc>
          <w:tcPr>
            <w:tcW w:type="dxa" w:w="2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AWS (~28%), Azure (~21%), GCP (~14%) = approximately 63% of global market (Synergy, Q1 2026)</w:t>
            </w:r>
          </w:p>
        </w:tc>
        <w:tc>
          <w:tcPr>
            <w:tcW w:type="dxa" w:w="31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CLOUD Act jurisdictional exposure; data transfer switching costs; pricing power; service deprecation risk without domestic alternative</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Chips</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hardware layer: specialised processors that train and serve AI models at scale</w:t>
            </w:r>
          </w:p>
        </w:tc>
        <w:tc>
          <w:tcPr>
            <w:tcW w:type="dxa" w:w="2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Nvidia (US chip design); TSMC (Taiwan manufacturing); US export licence controls</w:t>
            </w:r>
          </w:p>
        </w:tc>
        <w:tc>
          <w:tcPr>
            <w:tcW w:type="dxa" w:w="31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 commercially available alternative at comparable performance; long procurement lead times; supply chain geopolitical risk</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CNAS Sovereign AI Index (2026); Synergy Research Group Q1 2026; Lawfare (2024, 2026).</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Disruption at the chip layer affects model availability; disruption at the model layer affects all applications built on it. A dependent business encounters compounding constraints at all three layers simultaneously, rather than substituting one for another.</w:t>
      </w:r>
    </w:p>
    <w:p>
      <w:pPr>
        <w:spacing w:after="120" w:before="60"/>
      </w:pP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critical economic insight embedded in this structure is that all three layers constitute general-purpose infrastructure: they provide productive capability that is broadly available at retail pricing, not differentiated by user, and owned by entities whose commercial interests are independent of any individual dependent business. An independent firm that builds its competitive positioning exclusively on rented general-purpose AI infrastructure holds a foundation it does not control, cannot differentiate, and must continue paying for indefinitely at prices it cannot negotiate.</w:t>
      </w:r>
    </w:p>
    <w:p>
      <w:pPr>
        <w:pStyle w:val="Heading2"/>
        <w:spacing w:after="120" w:before="400"/>
      </w:pPr>
      <w:r>
        <w:rPr>
          <w:rFonts w:ascii="Calibri" w:cs="Calibri" w:eastAsia="Calibri" w:hAnsi="Calibri"/>
          <w:b/>
          <w:bCs/>
          <w:i w:val="false"/>
          <w:iCs w:val="false"/>
          <w:caps w:val="false"/>
          <w:color w:val="1B3A6B"/>
          <w:sz w:val="28"/>
          <w:szCs w:val="28"/>
        </w:rPr>
        <w:t xml:space="preserve">1.3  The External AI Dependence Index (EADI): A Proposed Measurement Framework</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To make EAD measurable and comparable across economies, this paper proposes the External AI Dependence Index (EADI) Version 1.0. Scores range from 0 (complete dependence) to 100 (complete sovereignty). The index uses five components: domestic cloud market share (25%), domestic foundation model availability (25%), sovereign compute capacity (20%), own-AI capability in high-risk sectors (20%), and AI talent retention rate (10%).</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EADI Version 1.0 is presented as a first-generation research instrument intended for empirical validation, not as a settled measurement standard. Component weights are judgement-based at this stage and should be tested through expert elicitation or principal component analysis in subsequent versions. Country rankings are robust to reasonable variations in individual component weights, but the absolute scores should be interpreted as indicative rather than precise.</w:t>
      </w:r>
    </w:p>
    <w:p>
      <w:pPr>
        <w:spacing w:after="60" w:before="200"/>
      </w:pPr>
      <w:r>
        <w:rPr>
          <w:rFonts w:ascii="Calibri" w:cs="Calibri" w:eastAsia="Calibri" w:hAnsi="Calibri"/>
          <w:b/>
          <w:bCs/>
          <w:i w:val="false"/>
          <w:iCs w:val="false"/>
          <w:caps w:val="false"/>
          <w:color w:val="1B3A6B"/>
          <w:sz w:val="20"/>
          <w:szCs w:val="20"/>
        </w:rPr>
        <w:t xml:space="preserve">Table 1-2.  </w:t>
      </w:r>
      <w:r>
        <w:rPr>
          <w:rFonts w:ascii="Calibri" w:cs="Calibri" w:eastAsia="Calibri" w:hAnsi="Calibri"/>
          <w:b w:val="false"/>
          <w:bCs w:val="false"/>
          <w:i/>
          <w:iCs/>
          <w:caps w:val="false"/>
          <w:color w:val="3D5166"/>
          <w:sz w:val="20"/>
          <w:szCs w:val="20"/>
        </w:rPr>
        <w:t xml:space="preserve">EADI Version 1.0 Scores: Top Ten Economies (July 2026)</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200"/>
        <w:gridCol w:w="900"/>
        <w:gridCol w:w="1300"/>
        <w:gridCol w:w="1200"/>
        <w:gridCol w:w="4472"/>
      </w:tblGrid>
      <w:tr>
        <w:trPr>
          <w:tblHeader/>
        </w:trPr>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Country</w:t>
            </w:r>
          </w:p>
        </w:tc>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EADI Score</w:t>
            </w:r>
          </w:p>
        </w:tc>
        <w:tc>
          <w:tcPr>
            <w:tcW w:type="dxa" w:w="13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Confidence range</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 Level</w:t>
            </w:r>
          </w:p>
        </w:tc>
        <w:tc>
          <w:tcPr>
            <w:tcW w:type="dxa" w:w="44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Independent business implication</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States</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92</w:t>
            </w:r>
          </w:p>
        </w:tc>
        <w:tc>
          <w:tcPr>
            <w:tcW w:type="dxa" w:w="1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88-95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(Source)</w:t>
            </w:r>
          </w:p>
        </w:tc>
        <w:tc>
          <w:tcPr>
            <w:tcW w:type="dxa" w:w="4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costs are USD on USD income; domestic infrastructure at all layers; no foreign jurisdiction exposure</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China</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64</w:t>
            </w:r>
          </w:p>
        </w:tc>
        <w:tc>
          <w:tcPr>
            <w:tcW w:type="dxa" w:w="1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4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Domestic stack extensive and growing; CNY-denominated costs; intentional decoupling underway; chip gap narrowing</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South Korea</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39-51</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w:t>
            </w:r>
          </w:p>
        </w:tc>
        <w:tc>
          <w:tcPr>
            <w:tcW w:type="dxa" w:w="4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Partial domestic model alternatives; Samsung/SK Hynix creates genuine upstream hardware leverage; KRW/USD exposure persists</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France</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26-38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Mistral AI provides a partial domestic foundation model; EUR pricing removes currency risk; sovereign compute limited relative to commercial need</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Germany</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22-34</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Industrial AI capability via SAP and sector champions; EU AI Act compliance adds cost; compute remains US-dependent</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Japan</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24</w:t>
            </w:r>
          </w:p>
        </w:tc>
        <w:tc>
          <w:tcPr>
            <w:tcW w:type="dxa" w:w="1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Robotics AI domain strength; cloud and model layer US-dependent; JPY depreciation has raised effective USD AI costs approximately 30% since 2022</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Canada</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19</w:t>
            </w:r>
          </w:p>
        </w:tc>
        <w:tc>
          <w:tcPr>
            <w:tcW w:type="dxa" w:w="1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13-25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Research-strong; Cohere is a partial exception; AI talent and commercial value flow primarily to US platforms</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Kingdom</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17</w:t>
            </w:r>
          </w:p>
        </w:tc>
        <w:tc>
          <w:tcPr>
            <w:tcW w:type="dxa" w:w="1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11-23</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Third-largest AI market globally (approximately USD 92B) operating on entirely foreign infrastructure</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1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7-17</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Near-total USD dependency; IT services sector faces structural exposure from the same platforms it pays to use</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Brazil</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w:t>
            </w:r>
          </w:p>
        </w:tc>
        <w:tc>
          <w:tcPr>
            <w:tcW w:type="dxa" w:w="1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3-11</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Lowest EADI in the G10 economies studied; no domestic AI infrastructure at commercial scale; highest income-adjusted AI cost burden in this study</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Author's derivation. Component methodology in Appendix B. All scores Category B (Derived). Confidence ranges reflect genuine data uncertainty in derived inputs, not formal statistical confidence intervals.</w:t>
      </w:r>
    </w:p>
    <w:p>
      <w:pPr>
        <w:pBdr>
          <w:top w:val="single" w:color="CBD5DE" w:sz="2"/>
        </w:pBd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 EADI scores are proposed as directional indicators for cross-country comparison and longitudinal tracking. They are not precise cardinal measures and should not be interpreted arithmetically. A country scoring 24 is substantially more dependent than one scoring 64; the ratio between scores does not carry independent meaning. The index is offered to invite empirical refinement, not to assert a definitive ranking.</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1.4  Why Survivability Provides the Right Analytical Frame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Prior studies of AI and economic performance have focused primarily on aggregate productivity gains, GDP contribution, and national competitiveness metrics. This paper focuses on a more specific question: does external AI dependence affect whether a new independent business survives its first five years?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survivability frame is analytically appropriate for three reasons. First, independent businesses are least able to absorb structural cost asymmetries -- they cannot negotiate enterprise platform contracts, maintain dedicated AI teams, or self-insure against pricing changes. Second, survivability outcomes are observable over defined time horizons, making the proposed framework empirically testable as longitudinal data accumulates. Third, the long-term mechanism through which any economy might reduce its external AI dependence requires surviving independent businesses that have progressively converted rented capability into owned specialized assets. Survivability is both an outcome of interest and the precondition for the economic transition this paper advocates.</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2: THE ECONOMIC MECHANISM</w:t>
      </w:r>
    </w:p>
    <w:p>
      <w:pPr>
        <w:spacing w:after="200" w:before="0" w:line="298" w:lineRule="auto"/>
        <w:contextualSpacing/>
        <w:jc w:val="left"/>
      </w:pPr>
      <w:r>
        <w:rPr>
          <w:rFonts w:ascii="Calibri" w:cs="Calibri" w:eastAsia="Calibri" w:hAnsi="Calibri"/>
          <w:b w:val="false"/>
          <w:bCs w:val="false"/>
          <w:i/>
          <w:iCs/>
          <w:caps w:val="false"/>
          <w:color w:val="3D5166"/>
          <w:sz w:val="24"/>
          <w:szCs w:val="24"/>
        </w:rPr>
        <w:t xml:space="preserve">Five financial mechanisms connect external AI dependence to reduced startup survivability. Each is independently material; together, they compound in ways that do not appear in conventional startup economics frameworks.</w:t>
      </w:r>
    </w:p>
    <w:p>
      <w:pPr>
        <w:pStyle w:val="Heading2"/>
        <w:spacing w:after="120" w:before="400"/>
      </w:pPr>
      <w:r>
        <w:rPr>
          <w:rFonts w:ascii="Calibri" w:cs="Calibri" w:eastAsia="Calibri" w:hAnsi="Calibri"/>
          <w:b/>
          <w:bCs/>
          <w:i w:val="false"/>
          <w:iCs w:val="false"/>
          <w:caps w:val="false"/>
          <w:color w:val="1B3A6B"/>
          <w:sz w:val="28"/>
          <w:szCs w:val="28"/>
        </w:rPr>
        <w:t xml:space="preserve">2.1  The Recurring Cost Layer</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 lean but operationally competitive AI tool stack for an independent knowledge-economy business in 2026 costs approximately USD 94 per month at retail pricing (Table 2-1). The significance of this figure is not its absolute size but three structural characteristics: it is entirely USD-denominated regardless of where the founder operates; it is controlled by a small number of US-domiciled companies; and available evidence suggests it is currently priced below the full cost of service delivery.</w:t>
      </w:r>
    </w:p>
    <w:p>
      <w:pPr>
        <w:spacing w:after="60" w:before="200"/>
      </w:pPr>
      <w:r>
        <w:rPr>
          <w:rFonts w:ascii="Calibri" w:cs="Calibri" w:eastAsia="Calibri" w:hAnsi="Calibri"/>
          <w:b/>
          <w:bCs/>
          <w:i w:val="false"/>
          <w:iCs w:val="false"/>
          <w:caps w:val="false"/>
          <w:color w:val="1B3A6B"/>
          <w:sz w:val="20"/>
          <w:szCs w:val="20"/>
        </w:rPr>
        <w:t xml:space="preserve">Table 2-1.  </w:t>
      </w:r>
      <w:r>
        <w:rPr>
          <w:rFonts w:ascii="Calibri" w:cs="Calibri" w:eastAsia="Calibri" w:hAnsi="Calibri"/>
          <w:b w:val="false"/>
          <w:bCs w:val="false"/>
          <w:i/>
          <w:iCs/>
          <w:caps w:val="false"/>
          <w:color w:val="3D5166"/>
          <w:sz w:val="20"/>
          <w:szCs w:val="20"/>
        </w:rPr>
        <w:t xml:space="preserve">Competitive AI Tool Stack for an Independent Business (July 2026)</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700"/>
        <w:gridCol w:w="1800"/>
        <w:gridCol w:w="900"/>
        <w:gridCol w:w="1900"/>
        <w:gridCol w:w="2772"/>
      </w:tblGrid>
      <w:tr>
        <w:trPr>
          <w:tblHeader/>
        </w:trPr>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Representative tool</w:t>
            </w:r>
          </w:p>
        </w:tc>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USD/month</w:t>
            </w:r>
          </w:p>
        </w:tc>
        <w:tc>
          <w:tcPr>
            <w:tcW w:type="dxa" w:w="1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Function</w:t>
            </w:r>
          </w:p>
        </w:tc>
        <w:tc>
          <w:tcPr>
            <w:tcW w:type="dxa" w:w="27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Pre-AI labour equivalent (USD/month, est.)</w:t>
            </w:r>
          </w:p>
        </w:tc>
      </w:tr>
      <w:tr>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assistant / LLM</w:t>
            </w:r>
          </w:p>
        </w:tc>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ChatGPT Plus or Claude Pro</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$20.00</w:t>
            </w:r>
          </w:p>
        </w:tc>
        <w:tc>
          <w:tcPr>
            <w:tcW w:type="dxa" w:w="1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drafting, analysis, code generation</w:t>
            </w:r>
          </w:p>
        </w:tc>
        <w:tc>
          <w:tcPr>
            <w:tcW w:type="dxa" w:w="2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$500-2,000</w:t>
            </w:r>
          </w:p>
        </w:tc>
      </w:tr>
      <w:tr>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research / synthesis</w:t>
            </w:r>
          </w:p>
        </w:tc>
        <w:tc>
          <w:tcPr>
            <w:tcW w:type="dxa" w:w="1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Perplexity Pro</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$17.00</w:t>
            </w:r>
          </w:p>
        </w:tc>
        <w:tc>
          <w:tcPr>
            <w:tcW w:type="dxa" w:w="1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Real-time research and factual synthesis</w:t>
            </w:r>
          </w:p>
        </w:tc>
        <w:tc>
          <w:tcPr>
            <w:tcW w:type="dxa" w:w="2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$100-500</w:t>
            </w:r>
          </w:p>
        </w:tc>
      </w:tr>
      <w:tr>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Cloud productivity</w:t>
            </w:r>
          </w:p>
        </w:tc>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Google Workspace Business Starter</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$7.20</w:t>
            </w:r>
          </w:p>
        </w:tc>
        <w:tc>
          <w:tcPr>
            <w:tcW w:type="dxa" w:w="1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Documents, email, storage, calendar</w:t>
            </w:r>
          </w:p>
        </w:tc>
        <w:tc>
          <w:tcPr>
            <w:tcW w:type="dxa" w:w="2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$50-200</w:t>
            </w:r>
          </w:p>
        </w:tc>
      </w:tr>
      <w:tr>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CRM / pipeline</w:t>
            </w:r>
          </w:p>
        </w:tc>
        <w:tc>
          <w:tcPr>
            <w:tcW w:type="dxa" w:w="1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HubSpot Starter</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$20.00</w:t>
            </w:r>
          </w:p>
        </w:tc>
        <w:tc>
          <w:tcPr>
            <w:tcW w:type="dxa" w:w="1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Contact management, revenue pipeline</w:t>
            </w:r>
          </w:p>
        </w:tc>
        <w:tc>
          <w:tcPr>
            <w:tcW w:type="dxa" w:w="2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$200-500</w:t>
            </w:r>
          </w:p>
        </w:tc>
      </w:tr>
      <w:tr>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Accounting</w:t>
            </w:r>
          </w:p>
        </w:tc>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Xero Starter</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$15.00</w:t>
            </w:r>
          </w:p>
        </w:tc>
        <w:tc>
          <w:tcPr>
            <w:tcW w:type="dxa" w:w="1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Invoicing, expense tracking, tax preparation</w:t>
            </w:r>
          </w:p>
        </w:tc>
        <w:tc>
          <w:tcPr>
            <w:tcW w:type="dxa" w:w="2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$200-600</w:t>
            </w:r>
          </w:p>
        </w:tc>
      </w:tr>
      <w:tr>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Design / content</w:t>
            </w:r>
          </w:p>
        </w:tc>
        <w:tc>
          <w:tcPr>
            <w:tcW w:type="dxa" w:w="1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Canva Pro</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$15.00</w:t>
            </w:r>
          </w:p>
        </w:tc>
        <w:tc>
          <w:tcPr>
            <w:tcW w:type="dxa" w:w="1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Visual assets, presentations, content production</w:t>
            </w:r>
          </w:p>
        </w:tc>
        <w:tc>
          <w:tcPr>
            <w:tcW w:type="dxa" w:w="2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$500-2,000</w:t>
            </w:r>
          </w:p>
        </w:tc>
      </w:tr>
      <w:tr>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Total -- lean competitive stack</w:t>
            </w:r>
          </w:p>
        </w:tc>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$94.20 / month</w:t>
            </w:r>
          </w:p>
        </w:tc>
        <w:tc>
          <w:tcPr>
            <w:tcW w:type="dxa" w:w="1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Annual: USD 1,131</w:t>
            </w:r>
          </w:p>
        </w:tc>
        <w:tc>
          <w:tcPr>
            <w:tcW w:type="dxa" w:w="2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$1,550-5,800 / month</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Official provider pricing pages (OpenAI, Anthropic, Google, Perplexity, HubSpot, Xero, Canva), verified July 5, 2026. Pre-AI labour equivalents from US BLS occupational wage data and freelance market benchmarks (Upwork, Fiverr 2025).</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All components are USD-denominated and invoiced by US-domiciled companies regardless of customer location. This is the structural origin of the currency exposure analysed in Section 2.2.</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2.2  Mechanism 1: Currency-Denominated Cost Asymmetry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same USD 1,131 annual cost represents materially different financial burdens across economies. Table 2-2 expresses the annual AI stack cost as a percentage of average formal-sector annual income using OECD data.</w:t>
      </w:r>
    </w:p>
    <w:p>
      <w:pPr>
        <w:spacing w:after="60" w:before="200"/>
      </w:pPr>
      <w:r>
        <w:rPr>
          <w:rFonts w:ascii="Calibri" w:cs="Calibri" w:eastAsia="Calibri" w:hAnsi="Calibri"/>
          <w:b/>
          <w:bCs/>
          <w:i w:val="false"/>
          <w:iCs w:val="false"/>
          <w:caps w:val="false"/>
          <w:color w:val="1B3A6B"/>
          <w:sz w:val="20"/>
          <w:szCs w:val="20"/>
        </w:rPr>
        <w:t xml:space="preserve">Table 2-2.  </w:t>
      </w:r>
      <w:r>
        <w:rPr>
          <w:rFonts w:ascii="Calibri" w:cs="Calibri" w:eastAsia="Calibri" w:hAnsi="Calibri"/>
          <w:b w:val="false"/>
          <w:bCs w:val="false"/>
          <w:i/>
          <w:iCs/>
          <w:caps w:val="false"/>
          <w:color w:val="3D5166"/>
          <w:sz w:val="20"/>
          <w:szCs w:val="20"/>
        </w:rPr>
        <w:t xml:space="preserve">Annual AI Stack Cost as Percentage of Average Annual Income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000"/>
        <w:gridCol w:w="800"/>
        <w:gridCol w:w="1200"/>
        <w:gridCol w:w="1200"/>
        <w:gridCol w:w="1100"/>
        <w:gridCol w:w="3772"/>
      </w:tblGrid>
      <w:tr>
        <w:trPr>
          <w:tblHeader/>
        </w:trPr>
        <w:tc>
          <w:tcPr>
            <w:tcW w:type="dxa" w:w="10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Country</w:t>
            </w:r>
          </w:p>
        </w:tc>
        <w:tc>
          <w:tcPr>
            <w:tcW w:type="dxa" w:w="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 Level</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Annual AI stack</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USD income equiv.</w:t>
            </w:r>
          </w:p>
        </w:tc>
        <w:tc>
          <w:tcPr>
            <w:tcW w:type="dxa" w:w="11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AI cost % of income</w:t>
            </w:r>
          </w:p>
        </w:tc>
        <w:tc>
          <w:tcPr>
            <w:tcW w:type="dxa" w:w="37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Currency risk</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States</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75,000</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3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 domestic USD</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China</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400 (CNY)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13,800</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~0.5-0.8%</w:t>
            </w:r>
          </w:p>
        </w:tc>
        <w:tc>
          <w:tcPr>
            <w:tcW w:type="dxa" w:w="3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 domestic CNY</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Germany</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(EUR)</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48,000</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3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 (EUR)</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France</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800-1,131 (EUR; Mistral option)</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45,000</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~1.7%</w:t>
            </w:r>
          </w:p>
        </w:tc>
        <w:tc>
          <w:tcPr>
            <w:tcW w:type="dxa" w:w="3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 (EUR)</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South Korea</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(USD on KRW)</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29,000</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3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(KRW/USD)</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Canada</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(USD on CAD)</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44,000</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3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(CAD/USD)</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Kingdom</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(USD on GBP)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40,000</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~2.7%</w:t>
            </w:r>
          </w:p>
        </w:tc>
        <w:tc>
          <w:tcPr>
            <w:tcW w:type="dxa" w:w="3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(GBP/USD)</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Japan</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(USD on JPY)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24,600</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~4.4%</w:t>
            </w:r>
          </w:p>
        </w:tc>
        <w:tc>
          <w:tcPr>
            <w:tcW w:type="dxa" w:w="3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(JPY approximately -30% since 2022)</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(USD on INR)</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8,900</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~12-15%</w:t>
            </w:r>
          </w:p>
        </w:tc>
        <w:tc>
          <w:tcPr>
            <w:tcW w:type="dxa" w:w="37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(INR/USD)</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Brazil</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1,131 (USD on BRL)</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6,500</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~15-20%</w:t>
            </w:r>
          </w:p>
        </w:tc>
        <w:tc>
          <w:tcPr>
            <w:tcW w:type="dxa" w:w="37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Very high (BRL/USD: 20-40%/yr)</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Income: OECD Average Annual Wages database, 2024; IMF IFS exchange rates, June 2026. AI costs: official provider pricing, July 5, 2026. Currency risk: Category B (Derived).</w:t>
      </w:r>
    </w:p>
    <w:p>
      <w:pPr>
        <w:pBdr>
          <w:top w:val="single" w:color="CBD5DE" w:sz="2"/>
        </w:pBd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 OECD AWL figures reflect gross average formal-sector wages. For Brazil and India, these overstate median income due to large informal sectors; the effective burden on median workers in these economies is higher than indicated.</w:t>
      </w:r>
    </w:p>
    <w:p>
      <w:pPr>
        <w:spacing w:after="120" w:before="60"/>
      </w:pPr>
    </w:p>
    <w:p>
      <w:pPr>
        <w:shd w:fill="8C2130" w:val="clear"/>
        <w:spacing w:after="240" w:before="240"/>
        <w:ind w:left="440" w:right="440"/>
        <w:jc w:val="left"/>
      </w:pPr>
      <w:r>
        <w:rPr>
          <w:rFonts w:ascii="Calibri" w:cs="Calibri" w:eastAsia="Calibri" w:hAnsi="Calibri"/>
          <w:b/>
          <w:bCs/>
          <w:i w:val="false"/>
          <w:iCs w:val="false"/>
          <w:caps w:val="false"/>
          <w:color w:val="FFFFFF"/>
          <w:sz w:val="22"/>
          <w:szCs w:val="22"/>
        </w:rPr>
        <w:t xml:space="preserve">An independent founder in Brazil pays approximately 15-20% of average annual formal income for the AI tool stack required to remain competitive. The equivalent cost for a US founder is approximately 1.5%. Both pay the same nominal price.</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2.3  Mechanism 2: Price Trajectory Risk</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Current AI subscription prices appear to be structurally below the full cost of service delivery. Analysis by SemiAnalysis (2026) suggests that heavy users of the USD 20/month ChatGPT Plus plan consume compute services with a market value of approximately USD 70-100 per month. The gap is funded by investor capital: OpenAI raised USD 40 billion in early 2025 at a USD 300 billion valuation. If and when investor-funded subsidisation transitions to profit-seeking pricing, dependent businesses would absorb price increases as USD-denominated operating costs on local-currency revenues without a domestic fallback.</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pricing transition, if it occurs, is likely to be gradual rather than abrupt; AI platforms have commercial incentives to avoid triggering sudden migration. This means additional financial burden would accumulate over a multi-year horizon in ways that may not be visible in any individual year's accounts but could be material across the full operating life of a business. From a survivability standpoint, the risk is most acute for businesses making long-term operational commitments to specific platforms at current subsidised prices.</w:t>
      </w:r>
    </w:p>
    <w:p>
      <w:pPr>
        <w:pStyle w:val="Heading2"/>
        <w:spacing w:after="120" w:before="400"/>
      </w:pPr>
      <w:r>
        <w:rPr>
          <w:rFonts w:ascii="Calibri" w:cs="Calibri" w:eastAsia="Calibri" w:hAnsi="Calibri"/>
          <w:b/>
          <w:bCs/>
          <w:i w:val="false"/>
          <w:iCs w:val="false"/>
          <w:caps w:val="false"/>
          <w:color w:val="1B3A6B"/>
          <w:sz w:val="28"/>
          <w:szCs w:val="28"/>
        </w:rPr>
        <w:t xml:space="preserve">2.4  Mechanism 3: Competitive Asymmetry Within Markets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Large enterprises negotiate AI platform contracts at prices substantially below retail. Microsoft Copilot Business starts at USD 18 per seat per month on annual terms, with volume discounts available at scale. An independent founder pays USD 20-25 per month with no negotiating leverage. This cost disadvantage compounds with the adoption gap documented by the OECD (2025): firms with 250 or more employees adopt AI at approximately 1.5-2 times the rate of firms with fewer than 50 employees across G7 economies.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compounding effect is directly relevant to survivability. A large firm that adopts AI faster, pays less per seat, and maintains a dedicated team to manage the documented 80%+ AI project failure rate (RAND, 2024) accumulates a compounding competitive advantage relative to any independent business in the same market. The independent business pays more, achieves lower adoption efficiency, and absorbs the full financial cost of failed implementations on local-currency revenues.</w:t>
      </w:r>
    </w:p>
    <w:p>
      <w:pPr>
        <w:pStyle w:val="Heading2"/>
        <w:spacing w:after="120" w:before="400"/>
      </w:pPr>
      <w:r>
        <w:rPr>
          <w:rFonts w:ascii="Calibri" w:cs="Calibri" w:eastAsia="Calibri" w:hAnsi="Calibri"/>
          <w:b/>
          <w:bCs/>
          <w:i w:val="false"/>
          <w:iCs w:val="false"/>
          <w:caps w:val="false"/>
          <w:color w:val="1B3A6B"/>
          <w:sz w:val="28"/>
          <w:szCs w:val="28"/>
        </w:rPr>
        <w:t xml:space="preserve">2.5  Mechanism 4: Platform Switching Costs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An independent business that integrates its operations, client workflows, and institutional processes with a specific AI platform accumulates switching costs that increase with time. These costs include the time required to rebuild systematic workflows, loss of institutional knowledge encoded in interaction histories and prompt systems, disruption to client-facing processes, and staff retraining.</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 a domestic platform environment, switching costs create the standard platform lock-in dynamics well documented in the economics literature (Parker, Van Alstyne, and Choudary, 2016). In a foreign platform environment, they carry an additional consequence: the absence of a credible domestic exit option removes all negotiating leverage. A business that cannot credibly threaten to migrate is structurally exposed to the platform provider's pricing and policy decisions, independent of its own market position.</w:t>
      </w:r>
    </w:p>
    <w:p>
      <w:pPr>
        <w:pStyle w:val="Heading2"/>
        <w:spacing w:after="120" w:before="400"/>
      </w:pPr>
      <w:r>
        <w:rPr>
          <w:rFonts w:ascii="Calibri" w:cs="Calibri" w:eastAsia="Calibri" w:hAnsi="Calibri"/>
          <w:b/>
          <w:bCs/>
          <w:i w:val="false"/>
          <w:iCs w:val="false"/>
          <w:caps w:val="false"/>
          <w:color w:val="1B3A6B"/>
          <w:sz w:val="28"/>
          <w:szCs w:val="28"/>
        </w:rPr>
        <w:t xml:space="preserve">2.6  Mechanism 5: AI Project Failure Cost Amplification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RAND Corporation (2024) finds that more than 80% of enterprise AI projects fail to deliver intended business value -- approximately twice the failure rate of comparable non-AI technology projects. MIT's Project NANDA (2025) documents that 95% of generative AI pilots achieve no measurable return to the income statement. S&amp;P Global Market Intelligence (2025) reports that 42% of companies abandoned most AI initiatives in 2025, up from 17% in 2024.</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For independent businesses in high-dependence economies, each failed AI project generates sunk costs denominated in USD on local-currency revenues, without a domestic alternative to which operations can be redirected. A three-month failed implementation for a founder in India represents approximately 3-4% of average annual formal-sector income in direct subscription costs alone, before accounting for time, opportunity cost, and client disruption. This proportional amplification is a structural feature of the high-EAD environment rather than a consequence of poor implementation.</w:t>
      </w:r>
    </w:p>
    <w:p>
      <w:pPr>
        <w:pStyle w:val="Heading2"/>
        <w:spacing w:after="120" w:before="400"/>
      </w:pPr>
      <w:r>
        <w:rPr>
          <w:rFonts w:ascii="Calibri" w:cs="Calibri" w:eastAsia="Calibri" w:hAnsi="Calibri"/>
          <w:b/>
          <w:bCs/>
          <w:i w:val="false"/>
          <w:iCs w:val="false"/>
          <w:caps w:val="false"/>
          <w:color w:val="1B3A6B"/>
          <w:sz w:val="28"/>
          <w:szCs w:val="28"/>
        </w:rPr>
        <w:t xml:space="preserve">2.7  The Compounding Effect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five mechanisms do not operate independently. A founder paying 15% of annual income on AI tools (Mechanism 1) faces potential price increases with no domestic fallback (Mechanism 2), competes against large firms paying less and adopting more (Mechanism 3), cannot credibly exit without significant cost (Mechanism 4), and when a project fails, absorbs the full cost in local-currency terms (Mechanism 5). The combined effect on financial survivability is materially larger than any individual mechanism implies.</w:t>
      </w:r>
    </w:p>
    <w:p>
      <w:pPr>
        <w:shd w:fill="3D5166" w:val="clear"/>
        <w:spacing w:after="240" w:before="240"/>
        <w:ind w:left="440" w:right="440"/>
        <w:jc w:val="left"/>
      </w:pPr>
      <w:r>
        <w:rPr>
          <w:rFonts w:ascii="Calibri" w:cs="Calibri" w:eastAsia="Calibri" w:hAnsi="Calibri"/>
          <w:b/>
          <w:bCs/>
          <w:i w:val="false"/>
          <w:iCs w:val="false"/>
          <w:caps w:val="false"/>
          <w:color w:val="FFFFFF"/>
          <w:sz w:val="22"/>
          <w:szCs w:val="22"/>
        </w:rPr>
        <w:t xml:space="preserve">High AI adoption in a high-EAD environment is not, by itself, a competitive advantage. Without corresponding ownership of specialized assets, it may represent a financial liability with five compounding mechanisms absent from conventional startup economics models.</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3: EVIDENCE</w:t>
      </w:r>
    </w:p>
    <w:p>
      <w:pPr>
        <w:spacing w:after="200" w:before="0" w:line="298" w:lineRule="auto"/>
        <w:contextualSpacing/>
        <w:jc w:val="left"/>
      </w:pPr>
      <w:r>
        <w:rPr>
          <w:rFonts w:ascii="Calibri" w:cs="Calibri" w:eastAsia="Calibri" w:hAnsi="Calibri"/>
          <w:b w:val="false"/>
          <w:bCs w:val="false"/>
          <w:i/>
          <w:iCs/>
          <w:caps w:val="false"/>
          <w:color w:val="3D5166"/>
          <w:sz w:val="24"/>
          <w:szCs w:val="24"/>
        </w:rPr>
        <w:t xml:space="preserve">This chapter presents the empirical and derived evidence for the five mechanisms, organised across three analytical units: sector classification, infrastructure dependence data, and business survival.</w:t>
      </w:r>
    </w:p>
    <w:p>
      <w:pPr>
        <w:pStyle w:val="Heading2"/>
        <w:spacing w:after="120" w:before="400"/>
      </w:pPr>
      <w:r>
        <w:rPr>
          <w:rFonts w:ascii="Calibri" w:cs="Calibri" w:eastAsia="Calibri" w:hAnsi="Calibri"/>
          <w:b/>
          <w:bCs/>
          <w:i w:val="false"/>
          <w:iCs w:val="false"/>
          <w:caps w:val="false"/>
          <w:color w:val="1B3A6B"/>
          <w:sz w:val="28"/>
          <w:szCs w:val="28"/>
        </w:rPr>
        <w:t xml:space="preserve">3.1  The AI Dependence Classification for Sectors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 proposed analytical framework -- the AI Dependence Classification -- distinguishes sectors by the degree to which AI is embedded in their core operations and the associated financial survivability risk for independent businesses in high-EAD environments.</w:t>
      </w:r>
    </w:p>
    <w:p>
      <w:pPr>
        <w:spacing w:after="60" w:before="200"/>
      </w:pPr>
      <w:r>
        <w:rPr>
          <w:rFonts w:ascii="Calibri" w:cs="Calibri" w:eastAsia="Calibri" w:hAnsi="Calibri"/>
          <w:b/>
          <w:bCs/>
          <w:i w:val="false"/>
          <w:iCs w:val="false"/>
          <w:caps w:val="false"/>
          <w:color w:val="1B3A6B"/>
          <w:sz w:val="20"/>
          <w:szCs w:val="20"/>
        </w:rPr>
        <w:t xml:space="preserve">Table 3-1.  </w:t>
      </w:r>
      <w:r>
        <w:rPr>
          <w:rFonts w:ascii="Calibri" w:cs="Calibri" w:eastAsia="Calibri" w:hAnsi="Calibri"/>
          <w:b w:val="false"/>
          <w:bCs w:val="false"/>
          <w:i/>
          <w:iCs/>
          <w:caps w:val="false"/>
          <w:color w:val="3D5166"/>
          <w:sz w:val="20"/>
          <w:szCs w:val="20"/>
        </w:rPr>
        <w:t xml:space="preserve">AI Dependence Classification for Sectors (Proposed Framework)</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2300"/>
        <w:gridCol w:w="3172"/>
      </w:tblGrid>
      <w:tr>
        <w:trPr>
          <w:tblHeader/>
        </w:trPr>
        <w:tc>
          <w:tcPr>
            <w:tcW w:type="dxa" w:w="14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Level</w:t>
            </w:r>
          </w:p>
        </w:tc>
        <w:tc>
          <w:tcPr>
            <w:tcW w:type="dxa" w:w="2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Definition</w:t>
            </w:r>
          </w:p>
        </w:tc>
        <w:tc>
          <w:tcPr>
            <w:tcW w:type="dxa" w:w="23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Survivability implication</w:t>
            </w:r>
          </w:p>
        </w:tc>
        <w:tc>
          <w:tcPr>
            <w:tcW w:type="dxa" w:w="31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Representative sectors</w:t>
            </w:r>
          </w:p>
        </w:tc>
      </w:tr>
      <w:tr>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 AI Dependence</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is embedded in primary service delivery. Removal of AI access is associated with inability to operate at a commercially viable standard.</w:t>
            </w:r>
          </w:p>
        </w:tc>
        <w:tc>
          <w:tcPr>
            <w:tcW w:type="dxa" w:w="2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All five mechanisms are likely to operate at full intensity. Financial survivability is most directly affected.</w:t>
            </w:r>
          </w:p>
        </w:tc>
        <w:tc>
          <w:tcPr>
            <w:tcW w:type="dxa" w:w="31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services delivery (AI-augmented), legal research systems, healthcare diagnostics, financial risk modelling, AI-native software products</w:t>
            </w:r>
          </w:p>
        </w:tc>
      </w:tr>
      <w:tr>
        <w:tc>
          <w:tcPr>
            <w:tcW w:type="dxa" w:w="14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AI Dependence</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is the primary competitive differentiator. The business could operate without AI but at a quality level insufficient to maintain competitive positioning.</w:t>
            </w:r>
          </w:p>
        </w:tc>
        <w:tc>
          <w:tcPr>
            <w:tcW w:type="dxa" w:w="2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Mechanisms 1, 2, and 3 operate at high intensity. Platform switching cost (Mechanism 4) compounds with time.</w:t>
            </w:r>
          </w:p>
        </w:tc>
        <w:tc>
          <w:tcPr>
            <w:tcW w:type="dxa" w:w="31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Management consulting, creative agencies, accounting practices, education technology, marketing services, engineering analysis</w:t>
            </w:r>
          </w:p>
        </w:tc>
      </w:tr>
      <w:tr>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AI Dependence</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enhances specific operational functions without being central to product delivery. Removal of AI would reduce efficiency without preventing operation.</w:t>
            </w:r>
          </w:p>
        </w:tc>
        <w:tc>
          <w:tcPr>
            <w:tcW w:type="dxa" w:w="23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Mechanism 1 is present but proportionally smaller. Mechanisms 2-5 operate at lower intensity.</w:t>
            </w:r>
          </w:p>
        </w:tc>
        <w:tc>
          <w:tcPr>
            <w:tcW w:type="dxa" w:w="31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Retail operations, logistics coordination, local professional services, hospitality management</w:t>
            </w:r>
          </w:p>
        </w:tc>
      </w:tr>
      <w:tr>
        <w:tc>
          <w:tcPr>
            <w:tcW w:type="dxa" w:w="14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 AI Dependence</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is used for peripheral tasks or not used. Core operations function independently of AI tools.</w:t>
            </w:r>
          </w:p>
        </w:tc>
        <w:tc>
          <w:tcPr>
            <w:tcW w:type="dxa" w:w="23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 direct financial exposure through EAD mechanisms.</w:t>
            </w:r>
          </w:p>
        </w:tc>
        <w:tc>
          <w:tcPr>
            <w:tcW w:type="dxa" w:w="31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Physical trades, construction, agriculture, personal care services</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Proposed framework, Shubham Agarwal, triNetra Research, 2026. Sector assignments are consistent with MIT NANDA (2025) business value assessment methodology and McKinsey State of AI 2025 use-case taxonomy.</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Individual business classification may differ from the sector-level assignment depending on the specific degree of AI integration. A marketing firm using AI only for scheduling is Moderate; one using AI for client strategy, content, and campaign optimisation is High or Critical.</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3.2  The Financial Survivability Pressure Matrix</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interaction between AI Dependence Classification and EAD Level determines the compound financial survivability pressure on an independent business. Table 3-2 presents this interaction as a proposed analytical matrix.</w:t>
      </w:r>
    </w:p>
    <w:p>
      <w:pPr>
        <w:spacing w:after="60" w:before="200"/>
      </w:pPr>
      <w:r>
        <w:rPr>
          <w:rFonts w:ascii="Calibri" w:cs="Calibri" w:eastAsia="Calibri" w:hAnsi="Calibri"/>
          <w:b/>
          <w:bCs/>
          <w:i w:val="false"/>
          <w:iCs w:val="false"/>
          <w:caps w:val="false"/>
          <w:color w:val="1B3A6B"/>
          <w:sz w:val="20"/>
          <w:szCs w:val="20"/>
        </w:rPr>
        <w:t xml:space="preserve">Table 3-2.  </w:t>
      </w:r>
      <w:r>
        <w:rPr>
          <w:rFonts w:ascii="Calibri" w:cs="Calibri" w:eastAsia="Calibri" w:hAnsi="Calibri"/>
          <w:b w:val="false"/>
          <w:bCs w:val="false"/>
          <w:i/>
          <w:iCs/>
          <w:caps w:val="false"/>
          <w:color w:val="3D5166"/>
          <w:sz w:val="20"/>
          <w:szCs w:val="20"/>
        </w:rPr>
        <w:t xml:space="preserve">Financial Survivability Pressure Matrix (Proposed)</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400"/>
        <w:gridCol w:w="1334"/>
        <w:gridCol w:w="1334"/>
        <w:gridCol w:w="1334"/>
        <w:gridCol w:w="1334"/>
        <w:gridCol w:w="2336"/>
      </w:tblGrid>
      <w:tr>
        <w:trPr>
          <w:tblHeader/>
        </w:trPr>
        <w:tc>
          <w:tcPr>
            <w:tcW w:type="dxa" w:w="14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
            </w:r>
          </w:p>
        </w:tc>
        <w:tc>
          <w:tcPr>
            <w:tcW w:type="dxa" w:w="1334"/>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None (EADI 92)</w:t>
            </w:r>
          </w:p>
        </w:tc>
        <w:tc>
          <w:tcPr>
            <w:tcW w:type="dxa" w:w="1334"/>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Low (EADI 64)</w:t>
            </w:r>
          </w:p>
        </w:tc>
        <w:tc>
          <w:tcPr>
            <w:tcW w:type="dxa" w:w="1334"/>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Moderate (EADI 45)</w:t>
            </w:r>
          </w:p>
        </w:tc>
        <w:tc>
          <w:tcPr>
            <w:tcW w:type="dxa" w:w="1334"/>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High (EADI 24-32)</w:t>
            </w:r>
          </w:p>
        </w:tc>
        <w:tc>
          <w:tcPr>
            <w:tcW w:type="dxa" w:w="2336"/>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Critical (EADI 7-19)</w:t>
            </w:r>
          </w:p>
        </w:tc>
      </w:tr>
      <w:tr>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 Dependence</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 -- domestic infrastructure; no foreign jurisdiction risk</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Low-moderate -- domestic stack; chip gap remains</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 partial alternatives; local/USD exchange exposure</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 full USD exposure; EU Act compliance; no domestic exit option</w:t>
            </w:r>
          </w:p>
        </w:tc>
        <w:tc>
          <w:tcPr>
            <w:tcW w:type="dxa" w:w="2336"/>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Severe -- all five mechanisms are likely to operate at full intensity simultaneously</w:t>
            </w:r>
          </w:p>
        </w:tc>
      </w:tr>
      <w:tr>
        <w:tc>
          <w:tcPr>
            <w:tcW w:type="dxa" w:w="14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Dependence</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Moderate-high</w:t>
            </w:r>
          </w:p>
        </w:tc>
        <w:tc>
          <w:tcPr>
            <w:tcW w:type="dxa" w:w="2336"/>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 USD costs fully absorbed; price trajectory risk material</w:t>
            </w:r>
          </w:p>
        </w:tc>
      </w:tr>
      <w:tr>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Dependence</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Negligible</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Negligible</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1334"/>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Low-moderate</w:t>
            </w:r>
          </w:p>
        </w:tc>
        <w:tc>
          <w:tcPr>
            <w:tcW w:type="dxa" w:w="2336"/>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 mechanisms present; proportionally smaller relative to operating budget</w:t>
            </w:r>
          </w:p>
        </w:tc>
      </w:tr>
      <w:tr>
        <w:tc>
          <w:tcPr>
            <w:tcW w:type="dxa" w:w="14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 Dependence</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1334"/>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2336"/>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Minimal -- EAD mechanisms apply only to peripheral tool costs</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Proposed framework. Pressure assessments: Category B (Derived) based on mechanisms in Chapter 2.</w:t>
      </w:r>
    </w:p>
    <w:p>
      <w:pPr>
        <w:pBdr>
          <w:top w:val="single" w:color="CBD5DE" w:sz="2"/>
        </w:pBd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 The 'Severe' cell at Critical Dependence x Critical EAD denotes the intersection at which all five mechanisms are likely to operate simultaneously at maximum intensity. India's IT services sector illustrates this configuration: AI is the primary delivery mechanism, EAD is near-total, and the same US platforms that companies in this sector pay to use are also the primary source of automation risk for the sector's core value proposition.</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3.3  AI Infrastructure Data: Ten-Country Evidence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Table 3-3 documents the AI adoption rate, operational dependence rate, and Own AI / Government AI / External AI infrastructure split for high AI-intensity sectors across the ten economies studied. All figures are Category B (Derived) estimates; ranges reflect genuine data uncertainty.</w:t>
      </w:r>
    </w:p>
    <w:p>
      <w:pPr>
        <w:spacing w:after="60" w:before="200"/>
      </w:pPr>
      <w:r>
        <w:rPr>
          <w:rFonts w:ascii="Calibri" w:cs="Calibri" w:eastAsia="Calibri" w:hAnsi="Calibri"/>
          <w:b/>
          <w:bCs/>
          <w:i w:val="false"/>
          <w:iCs w:val="false"/>
          <w:caps w:val="false"/>
          <w:color w:val="1B3A6B"/>
          <w:sz w:val="20"/>
          <w:szCs w:val="20"/>
        </w:rPr>
        <w:t xml:space="preserve">Table 3-3.  </w:t>
      </w:r>
      <w:r>
        <w:rPr>
          <w:rFonts w:ascii="Calibri" w:cs="Calibri" w:eastAsia="Calibri" w:hAnsi="Calibri"/>
          <w:b w:val="false"/>
          <w:bCs w:val="false"/>
          <w:i/>
          <w:iCs/>
          <w:caps w:val="false"/>
          <w:color w:val="3D5166"/>
          <w:sz w:val="20"/>
          <w:szCs w:val="20"/>
        </w:rPr>
        <w:t xml:space="preserve">AI Infrastructure Split: High AI-Intensity Sectors by Country</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700"/>
        <w:gridCol w:w="700"/>
        <w:gridCol w:w="900"/>
        <w:gridCol w:w="1000"/>
        <w:gridCol w:w="700"/>
        <w:gridCol w:w="700"/>
        <w:gridCol w:w="800"/>
        <w:gridCol w:w="3572"/>
      </w:tblGrid>
      <w:tr>
        <w:trPr>
          <w:tblHeader/>
        </w:trPr>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Country</w:t>
            </w:r>
          </w:p>
        </w:tc>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 Level</w:t>
            </w:r>
          </w:p>
        </w:tc>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Adoption %</w:t>
            </w:r>
          </w:p>
        </w:tc>
        <w:tc>
          <w:tcPr>
            <w:tcW w:type="dxa" w:w="10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Operational dep. %</w:t>
            </w:r>
          </w:p>
        </w:tc>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Own AI %</w:t>
            </w:r>
          </w:p>
        </w:tc>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Govt AI %</w:t>
            </w:r>
          </w:p>
        </w:tc>
        <w:tc>
          <w:tcPr>
            <w:tcW w:type="dxa" w:w="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w:t>
            </w:r>
          </w:p>
        </w:tc>
        <w:tc>
          <w:tcPr>
            <w:tcW w:type="dxa" w:w="35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Key survivability signal</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~85-90%</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35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adoption; significant own AI; concentration risk is domestic only -- no foreign jurisdiction risk</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China</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~80-85%</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35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Domestic stack operational; intentional decoupling programme; cost-competitive domestic models available</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 Korea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~80-85%</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35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HBM chip supply creates upstream leverage; domestic LLM alternatives partially reduce model dependency</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France</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~70-75%</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35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Mistral partially reduces model dependency; defence AI has domestic capability; enterprise financial AI on US platforms</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Germany</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~70-80%</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~77%</w:t>
            </w:r>
          </w:p>
        </w:tc>
        <w:tc>
          <w:tcPr>
            <w:tcW w:type="dxa" w:w="35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Industrial AI IP via SAP and sector champions; EU Act creates compliance-driven demand for alternatives; compute US-dependent</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Japan</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~65-75%</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35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Robotics AI domain strength is genuine; cloud and model layer US-dependent; JPY depreciation has inflated USD costs</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Canada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~75-80%</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~77%</w:t>
            </w:r>
          </w:p>
        </w:tc>
        <w:tc>
          <w:tcPr>
            <w:tcW w:type="dxa" w:w="35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PIPEDA data rules create tension with US cloud dependency; Cohere (operating globally) is the primary partial exception</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UK</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~80-85%</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~87%</w:t>
            </w:r>
          </w:p>
        </w:tc>
        <w:tc>
          <w:tcPr>
            <w:tcW w:type="dxa" w:w="35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services AI fully on US platforms; GBP/USD exposure on all AI operating costs</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~75-85%</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~90%</w:t>
            </w:r>
          </w:p>
        </w:tc>
        <w:tc>
          <w:tcPr>
            <w:tcW w:type="dxa" w:w="35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Maximum exposure: IT firms use US platforms to deliver services while the same platforms automate the sector's core labour value</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Brazil</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~55-65%</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~97%</w:t>
            </w:r>
          </w:p>
        </w:tc>
        <w:tc>
          <w:tcPr>
            <w:tcW w:type="dxa" w:w="35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Near-total external dependence; no domestic infrastructure; highest income-adjusted cost burden in this study</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AI adoption %: McKinsey State of AI 2025; BCG (2024, 2025); Federal Reserve FEDS Notes 2026; Stanford HAI 2025/2026. Own/Govt/External split: CNAS Sovereign AI Index 2026; McKinsey Sovereign AI (2025, 2026); Lawfare (2024, 2026); Oxford Insights GAIRI 2025; UK DSIT AI Sector Study (2025). All figures Category B (Derived).</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3.4  Business Survival: Baseline and Post-AI Structural Pressure</w:t>
      </w:r>
    </w:p>
    <w:p>
      <w:pPr>
        <w:spacing w:after="60" w:before="200"/>
      </w:pPr>
      <w:r>
        <w:rPr>
          <w:rFonts w:ascii="Calibri" w:cs="Calibri" w:eastAsia="Calibri" w:hAnsi="Calibri"/>
          <w:b/>
          <w:bCs/>
          <w:i w:val="false"/>
          <w:iCs w:val="false"/>
          <w:caps w:val="false"/>
          <w:color w:val="1B3A6B"/>
          <w:sz w:val="20"/>
          <w:szCs w:val="20"/>
        </w:rPr>
        <w:t xml:space="preserve">Table 3-4.  </w:t>
      </w:r>
      <w:r>
        <w:rPr>
          <w:rFonts w:ascii="Calibri" w:cs="Calibri" w:eastAsia="Calibri" w:hAnsi="Calibri"/>
          <w:b w:val="false"/>
          <w:bCs w:val="false"/>
          <w:i/>
          <w:iCs/>
          <w:caps w:val="false"/>
          <w:color w:val="3D5166"/>
          <w:sz w:val="20"/>
          <w:szCs w:val="20"/>
        </w:rPr>
        <w:t xml:space="preserve">Independent Business Survival: Pre-AI Baseline and Post-AI Pressure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700"/>
        <w:gridCol w:w="700"/>
        <w:gridCol w:w="700"/>
        <w:gridCol w:w="700"/>
        <w:gridCol w:w="900"/>
        <w:gridCol w:w="1100"/>
        <w:gridCol w:w="3872"/>
      </w:tblGrid>
      <w:tr>
        <w:trPr>
          <w:tblHeader/>
        </w:trPr>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Country</w:t>
            </w:r>
          </w:p>
        </w:tc>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 Level</w:t>
            </w:r>
          </w:p>
        </w:tc>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Year 1</w:t>
            </w:r>
          </w:p>
        </w:tc>
        <w:tc>
          <w:tcPr>
            <w:tcW w:type="dxa" w:w="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Year 5</w:t>
            </w:r>
          </w:p>
        </w:tc>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c>
          <w:tcPr>
            <w:tcW w:type="dxa" w:w="11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Post-AI pressure direction</w:t>
            </w:r>
          </w:p>
        </w:tc>
        <w:tc>
          <w:tcPr>
            <w:tcW w:type="dxa" w:w="3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Primary mechanism</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~51%</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(BLS BED 2025)</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Stable to marginally positive</w:t>
            </w:r>
          </w:p>
        </w:tc>
        <w:tc>
          <w:tcPr>
            <w:tcW w:type="dxa" w:w="3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reduces some entry barriers; domestic infrastructure access; no currency mechanism applies</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China</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~70-80%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~40-50%</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(SAMR/WB)</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Neutral to marginally positive</w:t>
            </w:r>
          </w:p>
        </w:tc>
        <w:tc>
          <w:tcPr>
            <w:tcW w:type="dxa" w:w="3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Domestic stack limits foreign dependency; state programmes extend SMB AI access</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Germany</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~80-85%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~50-55%</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(OECD)</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Modest downward</w:t>
            </w:r>
          </w:p>
        </w:tc>
        <w:tc>
          <w:tcPr>
            <w:tcW w:type="dxa" w:w="3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EU AI Act compliance adds operating costs; Mittelstand AI adoption gap vs large firms; EUR pricing limits currency mechanism</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France</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~80-85%</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~50-55%</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(OECD)</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Modest downward</w:t>
            </w:r>
          </w:p>
        </w:tc>
        <w:tc>
          <w:tcPr>
            <w:tcW w:type="dxa" w:w="3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platform dependency for enterprise AI; Mistral partially mitigates; EUR pricing is a meaningful buffer</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 Korea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~70-75%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~40-50%</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(OECD)</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Slight downward</w:t>
            </w:r>
          </w:p>
        </w:tc>
        <w:tc>
          <w:tcPr>
            <w:tcW w:type="dxa" w:w="3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Chaebol-SMB adoption gap reinforced; KRW/USD exposure applies; Naver/Kakao alternatives partially offset</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Japan</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~75-80%</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~40-50%</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(OECD/nat.)</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downward</w:t>
            </w:r>
          </w:p>
        </w:tc>
        <w:tc>
          <w:tcPr>
            <w:tcW w:type="dxa" w:w="3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JPY depreciation has raised effective USD AI costs approximately 30% since 2022; Mechanism 1 has worsened materially</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Canada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~75-80%</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~43-48%</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(OECD/SC)</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Meaningful downward</w:t>
            </w:r>
          </w:p>
        </w:tc>
        <w:tc>
          <w:tcPr>
            <w:tcW w:type="dxa" w:w="3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proximity creates direct AI-capability competitive asymmetry; AI talent and value flow to US platforms</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UK</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~93%</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~47%</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(ONS 2024)</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Meaningful downward</w:t>
            </w:r>
          </w:p>
        </w:tc>
        <w:tc>
          <w:tcPr>
            <w:tcW w:type="dxa" w:w="3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 domestic AI alternative at any stack layer; GBP/USD exposure applies to all AI operating costs</w:t>
            </w:r>
          </w:p>
        </w:tc>
      </w:tr>
      <w:tr>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~70-75%</w:t>
            </w:r>
          </w:p>
        </w:tc>
        <w:tc>
          <w:tcPr>
            <w:tcW w:type="dxa" w:w="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~30-40%</w:t>
            </w:r>
          </w:p>
        </w:tc>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(MSME/WB)</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Severe (IT services)</w:t>
            </w:r>
          </w:p>
        </w:tc>
        <w:tc>
          <w:tcPr>
            <w:tcW w:type="dxa" w:w="3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All five mechanisms likely operating simultaneously in the IT services sector</w:t>
            </w:r>
          </w:p>
        </w:tc>
      </w:tr>
      <w:tr>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Brazil</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~55-65%</w:t>
            </w:r>
          </w:p>
        </w:tc>
        <w:tc>
          <w:tcPr>
            <w:tcW w:type="dxa" w:w="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~25-35%</w:t>
            </w:r>
          </w:p>
        </w:tc>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(IBGE/WB)</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Severe</w:t>
            </w:r>
          </w:p>
        </w:tc>
        <w:tc>
          <w:tcPr>
            <w:tcW w:type="dxa" w:w="3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All five mechanisms apply; highest income-adjusted burden in study; no domestic fallback; high BRL/USD volatility</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US: LendingTree analysis of US BLS BED data (2025). UK: UK ONS Enterprise Survival Rate, November 2025 (2024 data). All others: OECD SME Outlook and national statistical agencies; Category B (Derived).</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Causal attribution of survival rate changes to EAD is not possible with available data. Post-AI pressure assessments are directional signals derived from the five documented financial mechanisms. Longitudinal firm-level data would be required to test causal claims.</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3.5  The Builder-Dependent Ratio</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Raw AI company counts are frequently used as indicators of ecosystem health. Within the scope of this study, that measure may be misleading for dependent economies: a large AI company count in a high-EAD economy may indicate a large population of founders paying USD-denominated costs to build applications on foreign-owned infrastructure -- potentially amplifying structural dependence rather than reducing it. The Builder-Dependent Ratio is proposed as a complementary metric that distinguishes firms constructing AI infrastructure from firms building exclusively on foreign-owned infrastructure.</w:t>
      </w:r>
    </w:p>
    <w:p>
      <w:pPr>
        <w:spacing w:after="60" w:before="200"/>
      </w:pPr>
      <w:r>
        <w:rPr>
          <w:rFonts w:ascii="Calibri" w:cs="Calibri" w:eastAsia="Calibri" w:hAnsi="Calibri"/>
          <w:b/>
          <w:bCs/>
          <w:i w:val="false"/>
          <w:iCs w:val="false"/>
          <w:caps w:val="false"/>
          <w:color w:val="1B3A6B"/>
          <w:sz w:val="20"/>
          <w:szCs w:val="20"/>
        </w:rPr>
        <w:t xml:space="preserve">Table 3-5.  </w:t>
      </w:r>
      <w:r>
        <w:rPr>
          <w:rFonts w:ascii="Calibri" w:cs="Calibri" w:eastAsia="Calibri" w:hAnsi="Calibri"/>
          <w:b w:val="false"/>
          <w:bCs w:val="false"/>
          <w:i/>
          <w:iCs/>
          <w:caps w:val="false"/>
          <w:color w:val="3D5166"/>
          <w:sz w:val="20"/>
          <w:szCs w:val="20"/>
        </w:rPr>
        <w:t xml:space="preserve">Builder-Dependent Ratio: Selected Economies (Proposed Metric)</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800"/>
        <w:gridCol w:w="850"/>
        <w:gridCol w:w="1100"/>
        <w:gridCol w:w="2200"/>
        <w:gridCol w:w="1000"/>
        <w:gridCol w:w="3122"/>
      </w:tblGrid>
      <w:tr>
        <w:trPr>
          <w:tblHeader/>
        </w:trPr>
        <w:tc>
          <w:tcPr>
            <w:tcW w:type="dxa" w:w="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Country</w:t>
            </w:r>
          </w:p>
        </w:tc>
        <w:tc>
          <w:tcPr>
            <w:tcW w:type="dxa" w:w="85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 Level</w:t>
            </w:r>
          </w:p>
        </w:tc>
        <w:tc>
          <w:tcPr>
            <w:tcW w:type="dxa" w:w="11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AI companies (est.)</w:t>
            </w:r>
          </w:p>
        </w:tc>
        <w:tc>
          <w:tcPr>
            <w:tcW w:type="dxa" w:w="2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Notable domestic builders</w:t>
            </w:r>
          </w:p>
        </w:tc>
        <w:tc>
          <w:tcPr>
            <w:tcW w:type="dxa" w:w="10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Ratio (est.)</w:t>
            </w:r>
          </w:p>
        </w:tc>
        <w:tc>
          <w:tcPr>
            <w:tcW w:type="dxa" w:w="312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What a large count signals</w:t>
            </w:r>
          </w:p>
        </w:tc>
      </w:tr>
      <w:tr>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USA</w:t>
            </w:r>
          </w:p>
        </w:tc>
        <w:tc>
          <w:tcPr>
            <w:tcW w:type="dxa" w:w="85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~29,618</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OpenAI, Anthropic, Google, Meta, Nvidia, AWS</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Favourable</w:t>
            </w:r>
          </w:p>
        </w:tc>
        <w:tc>
          <w:tcPr>
            <w:tcW w:type="dxa" w:w="312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Even application-layer startups run on domestically-owned infrastructure; no foreign jurisdiction risk</w:t>
            </w:r>
          </w:p>
        </w:tc>
      </w:tr>
      <w:tr>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China</w:t>
            </w:r>
          </w:p>
        </w:tc>
        <w:tc>
          <w:tcPr>
            <w:tcW w:type="dxa" w:w="85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~8,000-10,000</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Alibaba, Baidu, Huawei, DeepSeek</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Favourable</w:t>
            </w:r>
          </w:p>
        </w:tc>
        <w:tc>
          <w:tcPr>
            <w:tcW w:type="dxa" w:w="312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State-directed decoupling; domestic stack actively growing</w:t>
            </w:r>
          </w:p>
        </w:tc>
      </w:tr>
      <w:tr>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UK</w:t>
            </w:r>
          </w:p>
        </w:tc>
        <w:tc>
          <w:tcPr>
            <w:tcW w:type="dxa" w:w="85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~6,270+</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DeepMind (Google-owned; not domestically sovereign)</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~1:50</w:t>
            </w:r>
          </w:p>
        </w:tc>
        <w:tc>
          <w:tcPr>
            <w:tcW w:type="dxa" w:w="312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Approximately 98% of UK AI companies appear to build on US platforms</w:t>
            </w:r>
          </w:p>
        </w:tc>
      </w:tr>
      <w:tr>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w:t>
            </w:r>
          </w:p>
        </w:tc>
        <w:tc>
          <w:tcPr>
            <w:tcW w:type="dxa" w:w="85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~8,178</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at commercial frontier scale</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~1:100+</w:t>
            </w:r>
          </w:p>
        </w:tc>
        <w:tc>
          <w:tcPr>
            <w:tcW w:type="dxa" w:w="312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Second-largest national AI company count globally; near-total USD dependency across all stack layers</w:t>
            </w:r>
          </w:p>
        </w:tc>
      </w:tr>
      <w:tr>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France</w:t>
            </w:r>
          </w:p>
        </w:tc>
        <w:tc>
          <w:tcPr>
            <w:tcW w:type="dxa" w:w="85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~3,000-4,000</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Mistral AI (credible domestic foundation model)</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~1:15 improving</w:t>
            </w:r>
          </w:p>
        </w:tc>
        <w:tc>
          <w:tcPr>
            <w:tcW w:type="dxa" w:w="312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Mistral is currently the only credible non-US/non-China foundation model at commercial scale outside China</w:t>
            </w:r>
          </w:p>
        </w:tc>
      </w:tr>
      <w:tr>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Canada</w:t>
            </w:r>
          </w:p>
        </w:tc>
        <w:tc>
          <w:tcPr>
            <w:tcW w:type="dxa" w:w="85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1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~4,000-5,000</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Cohere (global operations; not domestically locked)</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~1:30</w:t>
            </w:r>
          </w:p>
        </w:tc>
        <w:tc>
          <w:tcPr>
            <w:tcW w:type="dxa" w:w="312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World-class AI research generating talent and IP that accrues primarily to US platforms commercially</w:t>
            </w:r>
          </w:p>
        </w:tc>
      </w:tr>
      <w:tr>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Brazil</w:t>
            </w:r>
          </w:p>
        </w:tc>
        <w:tc>
          <w:tcPr>
            <w:tcW w:type="dxa" w:w="85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11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~1,500-2,000</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at commercial scale</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~0 builders</w:t>
            </w:r>
          </w:p>
        </w:tc>
        <w:tc>
          <w:tcPr>
            <w:tcW w:type="dxa" w:w="312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Total infrastructure dependency; all AI operating costs flow to US platform providers</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Company counts: StartUs Insights (2025); Hostinger/Startup Ranking (2025). Builder classification: author's assessment based on Stanford HAI 2025; CNAS 2026; Oxford Insights GAIRI 2025. All ratios Category B (Derived).</w:t>
      </w:r>
    </w:p>
    <w:p>
      <w:pPr>
        <w:shd w:fill="A0611A" w:val="clear"/>
        <w:spacing w:after="240" w:before="240"/>
        <w:ind w:left="440" w:right="440"/>
        <w:jc w:val="left"/>
      </w:pPr>
      <w:r>
        <w:rPr>
          <w:rFonts w:ascii="Calibri" w:cs="Calibri" w:eastAsia="Calibri" w:hAnsi="Calibri"/>
          <w:b/>
          <w:bCs/>
          <w:i w:val="false"/>
          <w:iCs w:val="false"/>
          <w:caps w:val="false"/>
          <w:color w:val="FFFFFF"/>
          <w:sz w:val="22"/>
          <w:szCs w:val="22"/>
        </w:rPr>
        <w:t xml:space="preserve">India's approximately 8,178 AI companies -- the second-largest national count in this study -- operate at near-total USD dependency. Within the scope of this analysis, a large AI company count in a dependent economy appears to be evidence of scaled consumption rather than scaled capability.</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4: THE STRATEGIC RESPONSE -- SPECIALIZED DIGITAL ASSETS</w:t>
      </w:r>
    </w:p>
    <w:p>
      <w:pPr>
        <w:spacing w:after="200" w:before="0" w:line="298" w:lineRule="auto"/>
        <w:contextualSpacing/>
        <w:jc w:val="left"/>
      </w:pPr>
      <w:r>
        <w:rPr>
          <w:rFonts w:ascii="Calibri" w:cs="Calibri" w:eastAsia="Calibri" w:hAnsi="Calibri"/>
          <w:b w:val="false"/>
          <w:bCs w:val="false"/>
          <w:i/>
          <w:iCs/>
          <w:caps w:val="false"/>
          <w:color w:val="3D5166"/>
          <w:sz w:val="24"/>
          <w:szCs w:val="24"/>
        </w:rPr>
        <w:t xml:space="preserve">General-purpose AI provides capability. Specialized Digital Assets capture value. This distinction is the economic foundation of the strategic response this paper proposes.</w:t>
      </w:r>
    </w:p>
    <w:p>
      <w:pPr>
        <w:pStyle w:val="Heading2"/>
        <w:spacing w:after="120" w:before="400"/>
      </w:pPr>
      <w:r>
        <w:rPr>
          <w:rFonts w:ascii="Calibri" w:cs="Calibri" w:eastAsia="Calibri" w:hAnsi="Calibri"/>
          <w:b/>
          <w:bCs/>
          <w:i w:val="false"/>
          <w:iCs w:val="false"/>
          <w:caps w:val="false"/>
          <w:color w:val="1B3A6B"/>
          <w:sz w:val="28"/>
          <w:szCs w:val="28"/>
        </w:rPr>
        <w:t xml:space="preserve">4.1  Infrastructure Versus Assets: The Core Economic Distinction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General-purpose AI tools -- foundation models, cloud APIs, productivity platforms -- function as infrastructure. They provide productive capability that is broadly available at retail pricing, not differentiated by user, and whose trajectory is determined by its providers rather than its users. Infrastructure enables production; it does not, by itself, generate durable competitive advantage, because competitive advantage in market economies emerges from resources that are difficult to replicate, not from access to shared general-purpose capability.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observation draws on a substantial body of economic theory. Resource-based theory (Wernerfelt, 1984; Barney, 1991) identifies that durable competitive advantage derives from resources that are valuable, rare, inimitable, and non-substitutable. General-purpose AI infrastructure fails the rarity and inimitability tests by construction: it is broadly available, priced identically for all users, and its capability is determined by the platform, not by any individual user's choices. Dynamic capabilities theory (Teece, Pisano, and Shuen, 1997) further suggests that competitive advantage lies in the capacity to integrate, build, and reconfigure firm-specific knowledge assets over time -- not in access to shared external tools. Endogenous growth models (Romer, 1990) provide a complementary insight: knowledge that is encoded in proprietary, non-rival, but excludable form generates increasing returns, while access to shared general-purpose infrastructure does not.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Specialization is where economic value is captured. This principle applies to the relationship between general-purpose AI infrastructure and firm-specific knowledge assets as clearly as it applies to any prior general-purpose technology. The farmer who owns general-purpose land captures less value than the one who has encoded specific soil knowledge, crop relationships, and micro-climate intelligence into the operation of that land. The law firm that owns a proprietary case outcome database captures more durable value than one that uses the same general-purpose legal research tool as all competitors. General-purpose infrastructure enables; specialization compounds.</w:t>
      </w:r>
    </w:p>
    <w:p>
      <w:pPr>
        <w:pStyle w:val="Heading2"/>
        <w:spacing w:after="120" w:before="400"/>
      </w:pPr>
      <w:r>
        <w:rPr>
          <w:rFonts w:ascii="Calibri" w:cs="Calibri" w:eastAsia="Calibri" w:hAnsi="Calibri"/>
          <w:b/>
          <w:bCs/>
          <w:i w:val="false"/>
          <w:iCs w:val="false"/>
          <w:caps w:val="false"/>
          <w:color w:val="1B3A6B"/>
          <w:sz w:val="28"/>
          <w:szCs w:val="28"/>
        </w:rPr>
        <w:t xml:space="preserve">4.2  Defining Specialized Digital Assets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paper proposes the following formal definition as a contribution to the analytical vocabulary of AI economics:</w:t>
      </w:r>
    </w:p>
    <w:p>
      <w:pPr>
        <w:spacing w:after="120" w:before="40"/>
      </w:pPr>
    </w:p>
    <w:p>
      <w:pPr>
        <w:shd w:fill="1B3A6B" w:val="clear"/>
        <w:spacing w:after="240" w:before="240"/>
        <w:ind w:left="440" w:right="440"/>
        <w:jc w:val="left"/>
      </w:pPr>
      <w:r>
        <w:rPr>
          <w:rFonts w:ascii="Calibri" w:cs="Calibri" w:eastAsia="Calibri" w:hAnsi="Calibri"/>
          <w:b/>
          <w:bCs/>
          <w:i w:val="false"/>
          <w:iCs w:val="false"/>
          <w:caps w:val="false"/>
          <w:color w:val="FFFFFF"/>
          <w:sz w:val="22"/>
          <w:szCs w:val="22"/>
        </w:rPr>
        <w:t xml:space="preserve">Specialized Digital Assets are proprietary digital resources created through the application of general-purpose AI to a specific business, industry, customer base, workflow, dataset, or knowledge domain. Their value arises from specialization, ownership, and cumulative learning -- not from the underlying AI infrastructure itself.</w:t>
      </w:r>
    </w:p>
    <w:p>
      <w:pPr>
        <w:spacing w:after="120" w:before="60"/>
      </w:pP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definition has three constitutive elements. First, the asset is proprietary: it is created and owned by a specific business, not licensed from an external provider, and its value does not depend on the continued availability of any particular platform. Second, the asset is specialized: it encodes knowledge, relationships, or expertise specific to a domain, sector, or customer base, distinguishing it from any generic tool. Third, the asset's value is cumulative: it improves with use, accumulates institutional knowledge, and generates increasing returns over time -- consistent with learning-by-doing dynamics (Arrow, 1962) and knowledge capital frameworks (Hall and Mairesse, 1995).</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Specialized Digital Assets are not the same as building AI infrastructure. The proposal this paper makes is not that every independent business should develop a foundation model or become an AI company. The proposal is that every AI-intensive independent business should identify the knowledge, relationships, and expertise that are genuinely firm-specific, and progressively encode that specificity into owned digital resources that general-purpose platforms cannot replicate -- because those resources encode what is uniquely the business's own.</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4.3  Five Levels of Specialization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Specialized Digital Assets exist on a spectrum of increasing specialization, defensibility, and economic value. The proposed hierarchy in Table 4-1 organises them into five levels, each representing a distinct degree of domain encoding and competitive differentiation.</w:t>
      </w:r>
    </w:p>
    <w:p>
      <w:pPr>
        <w:spacing w:after="60" w:before="200"/>
      </w:pPr>
      <w:r>
        <w:rPr>
          <w:rFonts w:ascii="Calibri" w:cs="Calibri" w:eastAsia="Calibri" w:hAnsi="Calibri"/>
          <w:b/>
          <w:bCs/>
          <w:i w:val="false"/>
          <w:iCs w:val="false"/>
          <w:caps w:val="false"/>
          <w:color w:val="1B3A6B"/>
          <w:sz w:val="20"/>
          <w:szCs w:val="20"/>
        </w:rPr>
        <w:t xml:space="preserve">Table 4-1.  </w:t>
      </w:r>
      <w:r>
        <w:rPr>
          <w:rFonts w:ascii="Calibri" w:cs="Calibri" w:eastAsia="Calibri" w:hAnsi="Calibri"/>
          <w:b w:val="false"/>
          <w:bCs w:val="false"/>
          <w:i/>
          <w:iCs/>
          <w:caps w:val="false"/>
          <w:color w:val="3D5166"/>
          <w:sz w:val="20"/>
          <w:szCs w:val="20"/>
        </w:rPr>
        <w:t xml:space="preserve">Specialized Digital Asset Hierarchy (Proposed Framework)</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000"/>
        <w:gridCol w:w="1500"/>
        <w:gridCol w:w="1400"/>
        <w:gridCol w:w="1600"/>
        <w:gridCol w:w="1600"/>
        <w:gridCol w:w="1972"/>
      </w:tblGrid>
      <w:tr>
        <w:trPr>
          <w:tblHeader/>
        </w:trPr>
        <w:tc>
          <w:tcPr>
            <w:tcW w:type="dxa" w:w="10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Level</w:t>
            </w:r>
          </w:p>
        </w:tc>
        <w:tc>
          <w:tcPr>
            <w:tcW w:type="dxa" w:w="15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Asset type</w:t>
            </w:r>
          </w:p>
        </w:tc>
        <w:tc>
          <w:tcPr>
            <w:tcW w:type="dxa" w:w="14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Domain encoding</w:t>
            </w:r>
          </w:p>
        </w:tc>
        <w:tc>
          <w:tcPr>
            <w:tcW w:type="dxa" w:w="16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Defensibility</w:t>
            </w:r>
          </w:p>
        </w:tc>
        <w:tc>
          <w:tcPr>
            <w:tcW w:type="dxa" w:w="16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Compounding mechanism</w:t>
            </w:r>
          </w:p>
        </w:tc>
        <w:tc>
          <w:tcPr>
            <w:tcW w:type="dxa" w:w="19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Sector examples</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1  --  Reusable Workflows</w:t>
            </w:r>
          </w:p>
        </w:tc>
        <w:tc>
          <w:tcPr>
            <w:tcW w:type="dxa" w:w="15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Documented, versioned AI-assisted processes that encode how a specific business uses general-purpose tools for its particular tasks and client contexts</w:t>
            </w:r>
          </w:p>
        </w:tc>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Low-moderate: captures operational patterns unique to the business, not deeply domain-specific</w:t>
            </w:r>
          </w:p>
        </w:tc>
        <w:tc>
          <w:tcPr>
            <w:tcW w:type="dxa" w:w="1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Portable across platforms; reduces time cost per engagement; IP library the business retains if platforms change or pricing increases</w:t>
            </w:r>
          </w:p>
        </w:tc>
        <w:tc>
          <w:tcPr>
            <w:tcW w:type="dxa" w:w="1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Each documented process reduces future time cost; workflow library grows with every engagement; institutional knowledge is systematised rather than lost</w:t>
            </w:r>
          </w:p>
        </w:tc>
        <w:tc>
          <w:tcPr>
            <w:tcW w:type="dxa" w:w="19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Any sector: client communication systems, proposal generation processes, research protocols, quality review workflows</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2  --  Structured Proprietary Knowledge</w:t>
            </w:r>
          </w:p>
        </w:tc>
        <w:tc>
          <w:tcPr>
            <w:tcW w:type="dxa" w:w="15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Organised collections of domain expertise, institutional knowledge, and sector-specific understanding accumulated and structured by the business</w:t>
            </w:r>
          </w:p>
        </w:tc>
        <w:tc>
          <w:tcPr>
            <w:tcW w:type="dxa" w:w="14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 encodes knowledge requiring years of practice that cannot be purchased from any platform and differs from what any competitor using the same general-purpose tool would produce</w:t>
            </w:r>
          </w:p>
        </w:tc>
        <w:tc>
          <w:tcPr>
            <w:tcW w:type="dxa" w:w="16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Cannot be replicated by a competitor using the same AI tools without equivalent domain experience; creates client-specific intelligence that deepens relationships</w:t>
            </w:r>
          </w:p>
        </w:tc>
        <w:tc>
          <w:tcPr>
            <w:tcW w:type="dxa" w:w="16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Knowledge base deepens with every engagement; sector expertise grows; client-specific intelligence becomes increasingly valuable and difficult to transfer</w:t>
            </w:r>
          </w:p>
        </w:tc>
        <w:tc>
          <w:tcPr>
            <w:tcW w:type="dxa" w:w="19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Legal research databases, engineering specification libraries, medical protocol repositories, compliance knowledge bases, construction estimation systems</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3  --  Industry-Specific Datasets</w:t>
            </w:r>
          </w:p>
        </w:tc>
        <w:tc>
          <w:tcPr>
            <w:tcW w:type="dxa" w:w="15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Labelled, structured collections of domain-specific examples, outcomes, and patterns reflecting the business's operational history and client base</w:t>
            </w:r>
          </w:p>
        </w:tc>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 encodes patterns, outcomes, and relationships specific to a sector, customer type, or operating context that no general-purpose platform possesses</w:t>
            </w:r>
          </w:p>
        </w:tc>
        <w:tc>
          <w:tcPr>
            <w:tcW w:type="dxa" w:w="1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by construction; cannot be replicated without equivalent operational history; the primary input enabling Level 4 specialization</w:t>
            </w:r>
          </w:p>
        </w:tc>
        <w:tc>
          <w:tcPr>
            <w:tcW w:type="dxa" w:w="1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Dataset value grows with every added example; a larger proprietary dataset produces a more capable domain model at each fine-tuning cycle</w:t>
            </w:r>
          </w:p>
        </w:tc>
        <w:tc>
          <w:tcPr>
            <w:tcW w:type="dxa" w:w="19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Diagnostic outcome databases, underwriting decision histories, construction cost estimation records, agricultural yield datasets, insurance claims patterns</w:t>
            </w:r>
          </w:p>
        </w:tc>
      </w:tr>
      <w:tr>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4  --  Business-Specific AI Systems</w:t>
            </w:r>
          </w:p>
        </w:tc>
        <w:tc>
          <w:tcPr>
            <w:tcW w:type="dxa" w:w="15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models fine-tuned on proprietary datasets to perform domain tasks reflecting the business's accumulated expertise and methodology</w:t>
            </w:r>
          </w:p>
        </w:tc>
        <w:tc>
          <w:tcPr>
            <w:tcW w:type="dxa" w:w="14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Very high: the system embodies firm-specific expertise, not generic capability; performs specialized tasks that general-purpose models may not replicate with equivalent quality</w:t>
            </w:r>
          </w:p>
        </w:tc>
        <w:tc>
          <w:tcPr>
            <w:tcW w:type="dxa" w:w="16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system is owned by the business; runs on controlled infrastructure; not subject to external repricing; its capability is firm-specific and cumulates with use</w:t>
            </w:r>
          </w:p>
        </w:tc>
        <w:tc>
          <w:tcPr>
            <w:tcW w:type="dxa" w:w="16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Each fine-tuning cycle improves performance; ongoing use generates additional training data; the system becomes increasingly differentiated from any general-purpose alternative</w:t>
            </w:r>
          </w:p>
        </w:tc>
        <w:tc>
          <w:tcPr>
            <w:tcW w:type="dxa" w:w="19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Medical diagnostic intelligence systems, manufacturing optimisation engines, legal research systems, insurance underwriting models, agricultural decision systems, engineering knowledge graphs</w:t>
            </w:r>
          </w:p>
        </w:tc>
      </w:tr>
      <w:tr>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5  --  Specialized Domain Products</w:t>
            </w:r>
          </w:p>
        </w:tc>
        <w:tc>
          <w:tcPr>
            <w:tcW w:type="dxa" w:w="15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Revenue-generating products, platforms, or APIs built on owned datasets and domain-specific AI systems, serving other businesses in the same sector or knowledge domain</w:t>
            </w:r>
          </w:p>
        </w:tc>
        <w:tc>
          <w:tcPr>
            <w:tcW w:type="dxa" w:w="14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Maximum: the product embodies the business's accumulated expertise and is positioned as the specialized alternative to generic AI tools within its domain</w:t>
            </w:r>
          </w:p>
        </w:tc>
        <w:tc>
          <w:tcPr>
            <w:tcW w:type="dxa" w:w="1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Creates the business's own platform moat; generates network effects from user data; the business has transitioned from AI consumer to AI provider in its domain</w:t>
            </w:r>
          </w:p>
        </w:tc>
        <w:tc>
          <w:tcPr>
            <w:tcW w:type="dxa" w:w="1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User adoption improves the underlying model; usage data deepens specialization; the product becomes increasingly valuable as the sector's preferred domain intelligence resource</w:t>
            </w:r>
          </w:p>
        </w:tc>
        <w:tc>
          <w:tcPr>
            <w:tcW w:type="dxa" w:w="19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Sector-specific compliance platforms, engineering knowledge systems, medical diagnostic APIs, specialized legal research tools, domain-specific SaaS products, proprietary sector analytics platforms</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Proposed framework developed by the author, Shubham Agarwal, triNetra Research, 2026. Intended for empirical validation and refinement.</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Levels are not strictly sequential. A business may begin at Level 3 if it already holds rich proprietary data, or at Level 1 if early in AI adoption. The hierarchy describes increasing specialization and defensibility, not a mandatory chronological progression.</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4.4  Why Open-Weight Models Enable the Ownership Transition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Until approximately 2023, converting general-purpose AI capability into owned specialized assets required either access to proprietary frontier models -- which imposed ongoing dependency on the same platforms this paper identifies as the source of structural risk -- or the resources to train models from scratch, a route economically inaccessible to most independent businesses. Open-weight models have materially changed this calculus.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Open-weight models -- including Meta's Llama series, Mistral's models, Alibaba's Qwen, and DeepSeek models -- can be downloaded, operated, and fine-tuned on proprietary datasets without ongoing payment to any foreign commercial entity. Available benchmarks suggest the performance gap between open-weight and frontier proprietary models has narrowed substantially -- from approximately 8% to approximately 1.7% on selected assessments in a single year (Stanford HAI, 2025). For Level 3 and Level 4 asset development, open-weight models fine-tuned on proprietary domain data are likely to deliver sufficient performance for most independent business use cases, though the appropriate model choice will depend on the specific task and domain.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cost of this transition has also declined. Fine-tuning a capable open-weight model on domain-specific data using managed services costs approximately USD 100-5,000 depending on data volume and model size (Hugging Face, Replicate; July 2026 pricing). This is within the financial reach of most independent businesses that have accumulated Level 3 proprietary datasets. Critically, the bottleneck for reaching Level 4 is consistently the proprietary dataset, not the model. A business that begins systematically accumulating Level 3 assets today is building the primary input for Level 4 specialization regardless of which specific AI tools are dominant at the time of transition.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This observation has an important implication for the technology-agnosticism of the framework: the Specialized Digital Asset hierarchy remains relevant regardless of which AI platforms exist in five or ten years. The strategic logic does not depend on any specific tool -- it depends on the enduring economic principle that firm-specific, domain-encoded knowledge assets generate durable competitive advantage while access to shared general-purpose infrastructure does not.</w:t>
      </w:r>
    </w:p>
    <w:p>
      <w:pPr>
        <w:pStyle w:val="Heading2"/>
        <w:spacing w:after="120" w:before="400"/>
      </w:pPr>
      <w:r>
        <w:rPr>
          <w:rFonts w:ascii="Calibri" w:cs="Calibri" w:eastAsia="Calibri" w:hAnsi="Calibri"/>
          <w:b/>
          <w:bCs/>
          <w:i w:val="false"/>
          <w:iCs w:val="false"/>
          <w:caps w:val="false"/>
          <w:color w:val="1B3A6B"/>
          <w:sz w:val="28"/>
          <w:szCs w:val="28"/>
        </w:rPr>
        <w:t xml:space="preserve">4.5  The Specialization Flywheel</w:t>
      </w:r>
    </w:p>
    <w:p>
      <w:pPr>
        <w:spacing w:after="120" w:before="40"/>
      </w:pPr>
    </w:p>
    <w:p>
      <w:pPr>
        <w:spacing w:after="40" w:before="60"/>
      </w:pPr>
      <w:r>
        <w:rPr>
          <w:rFonts w:ascii="Calibri" w:cs="Calibri" w:eastAsia="Calibri" w:hAnsi="Calibri"/>
          <w:b/>
          <w:bCs/>
          <w:i w:val="false"/>
          <w:iCs w:val="false"/>
          <w:caps w:val="false"/>
          <w:color w:val="1B3A6B"/>
          <w:sz w:val="20"/>
          <w:szCs w:val="20"/>
        </w:rPr>
        <w:t xml:space="preserve">Figure 2.  </w:t>
      </w:r>
      <w:r>
        <w:rPr>
          <w:rFonts w:ascii="Calibri" w:cs="Calibri" w:eastAsia="Calibri" w:hAnsi="Calibri"/>
          <w:b w:val="false"/>
          <w:bCs w:val="false"/>
          <w:i/>
          <w:iCs/>
          <w:caps w:val="false"/>
          <w:color w:val="3D5166"/>
          <w:sz w:val="20"/>
          <w:szCs w:val="20"/>
        </w:rPr>
        <w:t xml:space="preserve">The Specialization Flywheel</w:t>
      </w:r>
    </w:p>
    <w:p>
      <w:pPr>
        <w:spacing w:after="120" w:before="0" w:line="298" w:lineRule="auto"/>
        <w:contextualSpacing/>
        <w:jc w:val="both"/>
      </w:pPr>
      <w:r>
        <w:rPr>
          <w:rFonts w:ascii="Calibri" w:cs="Calibri" w:eastAsia="Calibri" w:hAnsi="Calibri"/>
          <w:b w:val="false"/>
          <w:bCs w:val="false"/>
          <w:i/>
          <w:iCs/>
          <w:caps w:val="false"/>
          <w:color w:val="506070"/>
          <w:sz w:val="19"/>
          <w:szCs w:val="19"/>
        </w:rPr>
        <w:t xml:space="preserve">The proposed mechanism through which Specialized Digital Asset development progressively reduces external AI dependence while building defensible competitive advantage.</w:t>
      </w:r>
    </w:p>
    <w:p>
      <w:pPr>
        <w:spacing w:after="120" w:before="40"/>
      </w:pP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2D7D52"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Domain Expertise and Client Knowledge Accumulated</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Every engagement produces data, patterns, and insights specific to the business and its sector</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2D7D52"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Structured Proprietary Dataset Grows</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Domain data is labelled and structured; the dataset becomes a strategic asset no competitor can purchase</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3A7A5A"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Domain-Specific AI System Improves</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Fine-tuning on proprietary data produces a system that outperforms generic tools for sector-specific tasks</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367A5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Client Value and Revenue Increase</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Superior domain performance improves service quality, competitive positioning, and client retention</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1A6B3C"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External Platform Dependency Decreases</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As owned assets cover more use cases, the proportion of operations requiring USD fees to foreign platforms declines</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0D553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Additional Resources Available for Deeper Specialization</w:t>
            </w:r>
          </w:p>
        </w:tc>
      </w:tr>
    </w:tbl>
    <w:p>
      <w:pPr>
        <w:spacing w:after="100" w:before="40" w:line="298" w:lineRule="auto"/>
        <w:contextualSpacing/>
        <w:jc w:val="center"/>
      </w:pPr>
      <w:r>
        <w:rPr>
          <w:rFonts w:ascii="Calibri" w:cs="Calibri" w:eastAsia="Calibri" w:hAnsi="Calibri"/>
          <w:b w:val="false"/>
          <w:bCs w:val="false"/>
          <w:i/>
          <w:iCs/>
          <w:caps w:val="false"/>
          <w:color w:val="6B7C93"/>
          <w:sz w:val="19"/>
          <w:szCs w:val="19"/>
        </w:rPr>
        <w:t xml:space="preserve">Lower AI operating costs and higher client value fund further domain asset development -- the flywheel continues</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Proposed framework. Shubham Agarwal, triNetra Research, 2026.</w:t>
      </w:r>
    </w:p>
    <w:p>
      <w:pPr>
        <w:spacing w:after="120" w:before="60"/>
      </w:pP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flywheel is available only to businesses that initiate the specialization process. Every period of purely general-purpose AI consumption is a period in which no domain assets are accumulated, structural dependence remains unchanged, and the competitive gap relative to businesses actively building specialized capability continues to widen. The decision to begin accumulating Level 1 and Level 2 assets -- documented workflows and structured proprietary knowledge -- requires no capital investment and no technical expertise. It requires the organisational discipline to treat domain knowledge, accumulated through every client engagement, as a proprietary asset rather than an ephemeral transaction.</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5: IMPLICATIONS</w:t>
      </w:r>
    </w:p>
    <w:p>
      <w:pPr>
        <w:spacing w:after="200" w:before="0" w:line="298" w:lineRule="auto"/>
        <w:contextualSpacing/>
        <w:jc w:val="left"/>
      </w:pPr>
      <w:r>
        <w:rPr>
          <w:rFonts w:ascii="Calibri" w:cs="Calibri" w:eastAsia="Calibri" w:hAnsi="Calibri"/>
          <w:b w:val="false"/>
          <w:bCs w:val="false"/>
          <w:i/>
          <w:iCs/>
          <w:caps w:val="false"/>
          <w:color w:val="3D5166"/>
          <w:sz w:val="24"/>
          <w:szCs w:val="24"/>
        </w:rPr>
        <w:t xml:space="preserve">The principal economic challenge is not the existence of external AI infrastructure. The challenge is remaining permanently dependent on it while building nothing of proprietary and specialized value.</w:t>
      </w:r>
    </w:p>
    <w:p>
      <w:pPr>
        <w:pStyle w:val="Heading2"/>
        <w:spacing w:after="120" w:before="400"/>
      </w:pPr>
      <w:r>
        <w:rPr>
          <w:rFonts w:ascii="Calibri" w:cs="Calibri" w:eastAsia="Calibri" w:hAnsi="Calibri"/>
          <w:b/>
          <w:bCs/>
          <w:i w:val="false"/>
          <w:iCs w:val="false"/>
          <w:caps w:val="false"/>
          <w:color w:val="1B3A6B"/>
          <w:sz w:val="28"/>
          <w:szCs w:val="28"/>
        </w:rPr>
        <w:t xml:space="preserve">5.1  For Independent Founders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most consequential implication for an independent founder in a high-EAD environment is that the choice between AI consumption and specialization is not a technical decision. It is a strategic and financial one with long-term survivability consequences.</w:t>
      </w:r>
    </w:p>
    <w:p>
      <w:pPr>
        <w:spacing w:after="60" w:before="200"/>
      </w:pPr>
      <w:r>
        <w:rPr>
          <w:rFonts w:ascii="Calibri" w:cs="Calibri" w:eastAsia="Calibri" w:hAnsi="Calibri"/>
          <w:b/>
          <w:bCs/>
          <w:i/>
          <w:iCs/>
          <w:caps w:val="false"/>
          <w:color w:val="506070"/>
          <w:sz w:val="22"/>
          <w:szCs w:val="22"/>
        </w:rPr>
        <w:t xml:space="preserve">Assess total AI dependence before expanding it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Before deepening integration with any external AI platform, a founder should evaluate: total USD-denominated AI cost as a percentage of current revenue; the degree to which existing AI usage produces proprietary data and workflow IP versus consuming platform capability; and the switching cost already accumulated through platform integration. This establishes the current position in the survivability pressure matrix and identifies where specialization investment would reduce structural exposure most efficiently.</w:t>
      </w:r>
    </w:p>
    <w:p>
      <w:pPr>
        <w:spacing w:after="60" w:before="200"/>
      </w:pPr>
      <w:r>
        <w:rPr>
          <w:rFonts w:ascii="Calibri" w:cs="Calibri" w:eastAsia="Calibri" w:hAnsi="Calibri"/>
          <w:b/>
          <w:bCs/>
          <w:i/>
          <w:iCs/>
          <w:caps w:val="false"/>
          <w:color w:val="506070"/>
          <w:sz w:val="22"/>
          <w:szCs w:val="22"/>
        </w:rPr>
        <w:t xml:space="preserve">Begin Level 1 and Level 2 asset development immediately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Structured workflow documentation and systematic knowledge organisation require no capital and no technical infrastructure. A founder who treats every AI-assisted engagement as an opportunity to document a reusable process or capture a domain insight is accumulating Level 1 and Level 2 assets at zero additional cost. These are the inputs for all subsequent specialization levels. The economic cost of not starting is the continued inability to progress toward any form of owned capability.</w:t>
      </w:r>
    </w:p>
    <w:p>
      <w:pPr>
        <w:spacing w:after="60" w:before="200"/>
      </w:pPr>
      <w:r>
        <w:rPr>
          <w:rFonts w:ascii="Calibri" w:cs="Calibri" w:eastAsia="Calibri" w:hAnsi="Calibri"/>
          <w:b/>
          <w:bCs/>
          <w:i/>
          <w:iCs/>
          <w:caps w:val="false"/>
          <w:color w:val="506070"/>
          <w:sz w:val="22"/>
          <w:szCs w:val="22"/>
        </w:rPr>
        <w:t xml:space="preserve">Identify the specific knowledge that is genuinely yours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direction of specialization should be determined by the knowledge, relationships, and expertise that are genuinely proprietary to the business -- not by which AI tools are currently popular. A medical billing consultancy's specialization is its knowledge of payer relationships and reimbursement patterns. A construction cost estimator's specialization is its proprietary database of regional material and labour rates. The domain asset is the specialization; the AI tool is merely the instrument through which that specialization is encoded and deployed.</w:t>
      </w:r>
    </w:p>
    <w:p>
      <w:pPr>
        <w:spacing w:after="60" w:before="200"/>
      </w:pPr>
      <w:r>
        <w:rPr>
          <w:rFonts w:ascii="Calibri" w:cs="Calibri" w:eastAsia="Calibri" w:hAnsi="Calibri"/>
          <w:b/>
          <w:bCs/>
          <w:i/>
          <w:iCs/>
          <w:caps w:val="false"/>
          <w:color w:val="506070"/>
          <w:sz w:val="22"/>
          <w:szCs w:val="22"/>
        </w:rPr>
        <w:t xml:space="preserve">Treat proprietary data as a primary strategic asset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Domain-specific, labelled, structured data is the primary input that external platforms cannot purchase, replicate, or substitute. A founder who systematically accumulates and organises such data is building the foundation for Level 4 specialization regardless of which AI tools are dominant at the point of transition. Because the bottleneck for Level 4 is consistently the proprietary dataset rather than the AI model, data accumulation is the highest-value activity available to an AI-intensive independent business before any technical infrastructure is required.</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5.2  For Investors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EAD framework introduces a structural risk variable that does not appear in conventional startup due diligence. An AI-dependent startup in a critical-EAD economy faces five compounding financial mechanisms that may reduce year-5 survivability beyond what pre-AI startup failure rate data suggests. This risk is most acute in three profiles:</w:t>
      </w:r>
    </w:p>
    <w:p>
      <w:pPr>
        <w:pStyle w:val="ListParagraph"/>
        <w:numPr>
          <w:ilvl w:val="0"/>
          <w:numId w:val="1"/>
        </w:numPr>
        <w:spacing w:after="60" w:before="60" w:line="288" w:lineRule="auto"/>
        <w:ind w:left="360"/>
        <w:contextualSpacing/>
      </w:pPr>
      <w:r>
        <w:rPr>
          <w:rFonts w:ascii="Calibri" w:cs="Calibri" w:eastAsia="Calibri" w:hAnsi="Calibri"/>
          <w:b w:val="false"/>
          <w:bCs w:val="false"/>
          <w:i w:val="false"/>
          <w:iCs w:val="false"/>
          <w:caps w:val="false"/>
          <w:color w:val="1C1C2E"/>
          <w:sz w:val="22"/>
          <w:szCs w:val="22"/>
        </w:rPr>
        <w:t xml:space="preserve">Startups in critical AI-dependence sectors -- IT services, legal AI, healthcare AI, financial AI -- located in economies with EADI scores below 20, where all five mechanisms are likely to operate at full intensity</w:t>
      </w:r>
    </w:p>
    <w:p>
      <w:pPr>
        <w:pStyle w:val="ListParagraph"/>
        <w:numPr>
          <w:ilvl w:val="0"/>
          <w:numId w:val="1"/>
        </w:numPr>
        <w:spacing w:after="60" w:before="60" w:line="288" w:lineRule="auto"/>
        <w:ind w:left="360"/>
        <w:contextualSpacing/>
      </w:pPr>
      <w:r>
        <w:rPr>
          <w:rFonts w:ascii="Calibri" w:cs="Calibri" w:eastAsia="Calibri" w:hAnsi="Calibri"/>
          <w:b w:val="false"/>
          <w:bCs w:val="false"/>
          <w:i w:val="false"/>
          <w:iCs w:val="false"/>
          <w:caps w:val="false"/>
          <w:color w:val="1C1C2E"/>
          <w:sz w:val="22"/>
          <w:szCs w:val="22"/>
        </w:rPr>
        <w:t xml:space="preserve">Startups whose technical moat consists exclusively of prompt engineering or workflow design on external AI platforms -- capabilities that are non-proprietary, replicable by any user of the same platform, and directly subject to platform policy changes</w:t>
      </w:r>
    </w:p>
    <w:p>
      <w:pPr>
        <w:pStyle w:val="ListParagraph"/>
        <w:numPr>
          <w:ilvl w:val="0"/>
          <w:numId w:val="1"/>
        </w:numPr>
        <w:spacing w:after="60" w:before="60" w:line="288" w:lineRule="auto"/>
        <w:ind w:left="360"/>
        <w:contextualSpacing/>
      </w:pPr>
      <w:r>
        <w:rPr>
          <w:rFonts w:ascii="Calibri" w:cs="Calibri" w:eastAsia="Calibri" w:hAnsi="Calibri"/>
          <w:b w:val="false"/>
          <w:bCs w:val="false"/>
          <w:i w:val="false"/>
          <w:iCs w:val="false"/>
          <w:caps w:val="false"/>
          <w:color w:val="1C1C2E"/>
          <w:sz w:val="22"/>
          <w:szCs w:val="22"/>
        </w:rPr>
        <w:t xml:space="preserve">Startups in economies with high USD/local-currency volatility where AI operating costs represent a material revenue percentage and cannot be hedged within normal business planning horizons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Conversely, startups demonstrating specialization progression -- evidenced by proprietary dataset scale, domain-specific fine-tuning, Level 3 or higher assets in active development, and demonstrated performance advantages for sector-specific tasks -- present structurally more resilient investment profiles. The Builder-Dependent Ratio provides a useful first-order signal: a startup building on open-weight infrastructure fine-tuned on proprietary domain data has more durable competitive positioning than one building exclusively on foreign proprietary platforms.</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5.3  For Policymakers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Policy recommendations in this paper are limited to measures directly associated with the thesis: improving the financial survivability of independent businesses in high-EAD environments through incentives that favour specialization over generic consumption.</w:t>
      </w:r>
    </w:p>
    <w:p>
      <w:pPr>
        <w:spacing w:after="60" w:before="200"/>
      </w:pPr>
      <w:r>
        <w:rPr>
          <w:rFonts w:ascii="Calibri" w:cs="Calibri" w:eastAsia="Calibri" w:hAnsi="Calibri"/>
          <w:b/>
          <w:bCs/>
          <w:i/>
          <w:iCs/>
          <w:caps w:val="false"/>
          <w:color w:val="506070"/>
          <w:sz w:val="22"/>
          <w:szCs w:val="22"/>
        </w:rPr>
        <w:t xml:space="preserve">Incentivise Specialized Digital Asset creation, not only AI adoption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Current AI policy incentives in most dependent economies subsidise AI adoption -- which primarily benefits foreign platform revenue. Tax incentives or grant programmes for businesses that develop Level 3 and Level 4 specialized assets (domain-specific datasets, fine-tuned domain models, sector-specific AI products) would redirect incentives toward domestic knowledge accumulation and enduring economic value creation. The EADI framework could serve as a policy benchmark for tracking structural progress over time.</w:t>
      </w:r>
    </w:p>
    <w:p>
      <w:pPr>
        <w:spacing w:after="60" w:before="200"/>
      </w:pPr>
      <w:r>
        <w:rPr>
          <w:rFonts w:ascii="Calibri" w:cs="Calibri" w:eastAsia="Calibri" w:hAnsi="Calibri"/>
          <w:b/>
          <w:bCs/>
          <w:i/>
          <w:iCs/>
          <w:caps w:val="false"/>
          <w:color w:val="506070"/>
          <w:sz w:val="22"/>
          <w:szCs w:val="22"/>
        </w:rPr>
        <w:t xml:space="preserve">Fund domain-specific fine-tuning programmes for SMEs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Fine-tuning a capable open-weight model on domain-specific data currently costs approximately USD 100-5,000. Government programmes providing technical assistance and domestic compute access for SMEs to develop Level 3 and Level 4 assets would reduce foreign platform dependency at costs substantially lower than sovereign foundation model development -- and would more directly address the survivability problem this paper identifies.</w:t>
      </w:r>
    </w:p>
    <w:p>
      <w:pPr>
        <w:spacing w:after="60" w:before="200"/>
      </w:pPr>
      <w:r>
        <w:rPr>
          <w:rFonts w:ascii="Calibri" w:cs="Calibri" w:eastAsia="Calibri" w:hAnsi="Calibri"/>
          <w:b/>
          <w:bCs/>
          <w:i/>
          <w:iCs/>
          <w:caps w:val="false"/>
          <w:color w:val="506070"/>
          <w:sz w:val="22"/>
          <w:szCs w:val="22"/>
        </w:rPr>
        <w:t xml:space="preserve">Consider domestic data residency requirements for high AI-dependence sectors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Financial services, healthcare, and legal AI in dependent economies may warrant requirements to process and store operational data on domestic or treaty-governed infrastructure. Such requirements would reduce the jurisdictional exposure created by the US CLOUD Act and would create a demand signal for domestic compute investment -- both of which improve the conditions under which Level 3 and Level 4 specialized assets can be developed without foreign jurisdictional risk.</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5.4  For Educational Institutions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Business schools, entrepreneurship programmes, and professional certification bodies in high-EAD economies might consider integrating the following into core curricula:</w:t>
      </w:r>
    </w:p>
    <w:p>
      <w:pPr>
        <w:pStyle w:val="ListParagraph"/>
        <w:numPr>
          <w:ilvl w:val="0"/>
          <w:numId w:val="1"/>
        </w:numPr>
        <w:spacing w:after="60" w:before="60" w:line="288" w:lineRule="auto"/>
        <w:ind w:left="360"/>
        <w:contextualSpacing/>
      </w:pPr>
      <w:r>
        <w:rPr>
          <w:rFonts w:ascii="Calibri" w:cs="Calibri" w:eastAsia="Calibri" w:hAnsi="Calibri"/>
          <w:b w:val="false"/>
          <w:bCs w:val="false"/>
          <w:i w:val="false"/>
          <w:iCs w:val="false"/>
          <w:caps w:val="false"/>
          <w:color w:val="1C1C2E"/>
          <w:sz w:val="22"/>
          <w:szCs w:val="22"/>
        </w:rPr>
        <w:t xml:space="preserve">Analysis of USD-denominated AI operating costs and their income-adjusted impact on founders across national income contexts, as a component of startup economics instruction</w:t>
      </w:r>
    </w:p>
    <w:p>
      <w:pPr>
        <w:pStyle w:val="ListParagraph"/>
        <w:numPr>
          <w:ilvl w:val="0"/>
          <w:numId w:val="1"/>
        </w:numPr>
        <w:spacing w:after="60" w:before="60" w:line="288" w:lineRule="auto"/>
        <w:ind w:left="360"/>
        <w:contextualSpacing/>
      </w:pPr>
      <w:r>
        <w:rPr>
          <w:rFonts w:ascii="Calibri" w:cs="Calibri" w:eastAsia="Calibri" w:hAnsi="Calibri"/>
          <w:b w:val="false"/>
          <w:bCs w:val="false"/>
          <w:i w:val="false"/>
          <w:iCs w:val="false"/>
          <w:caps w:val="false"/>
          <w:color w:val="1C1C2E"/>
          <w:sz w:val="22"/>
          <w:szCs w:val="22"/>
        </w:rPr>
        <w:t xml:space="preserve">Specialized Digital Asset development as a deliberate economic strategy, distinct from general AI adoption and from technical AI engineering</w:t>
      </w:r>
    </w:p>
    <w:p>
      <w:pPr>
        <w:pStyle w:val="ListParagraph"/>
        <w:numPr>
          <w:ilvl w:val="0"/>
          <w:numId w:val="1"/>
        </w:numPr>
        <w:spacing w:after="60" w:before="60" w:line="288" w:lineRule="auto"/>
        <w:ind w:left="360"/>
        <w:contextualSpacing/>
      </w:pPr>
      <w:r>
        <w:rPr>
          <w:rFonts w:ascii="Calibri" w:cs="Calibri" w:eastAsia="Calibri" w:hAnsi="Calibri"/>
          <w:b w:val="false"/>
          <w:bCs w:val="false"/>
          <w:i w:val="false"/>
          <w:iCs w:val="false"/>
          <w:caps w:val="false"/>
          <w:color w:val="1C1C2E"/>
          <w:sz w:val="22"/>
          <w:szCs w:val="22"/>
        </w:rPr>
        <w:t xml:space="preserve">AI Dependence Classification as a component of professional competency frameworks in IT services, legal practice, healthcare delivery, and financial services</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5.5  Future Research Priorities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1.  </w:t>
      </w:r>
      <w:r>
        <w:rPr>
          <w:rFonts w:ascii="Calibri" w:cs="Calibri" w:eastAsia="Calibri" w:hAnsi="Calibri"/>
          <w:b w:val="false"/>
          <w:bCs w:val="false"/>
          <w:i w:val="false"/>
          <w:iCs w:val="false"/>
          <w:caps w:val="false"/>
          <w:color w:val="1C1C2E"/>
          <w:sz w:val="22"/>
          <w:szCs w:val="22"/>
        </w:rPr>
        <w:t xml:space="preserve">Longitudinal firm-level data on AI adoption costs, survival outcomes, and Specialized Digital Asset accumulation, with sufficient sample size to test whether EADI score predicts year-5 survival after controlling for sector, size, and country.</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2.  </w:t>
      </w:r>
      <w:r>
        <w:rPr>
          <w:rFonts w:ascii="Calibri" w:cs="Calibri" w:eastAsia="Calibri" w:hAnsi="Calibri"/>
          <w:b w:val="false"/>
          <w:bCs w:val="false"/>
          <w:i w:val="false"/>
          <w:iCs w:val="false"/>
          <w:caps w:val="false"/>
          <w:color w:val="1C1C2E"/>
          <w:sz w:val="22"/>
          <w:szCs w:val="22"/>
        </w:rPr>
        <w:t xml:space="preserve">Quantification of the adoption-cost elasticity: how does AI adoption probability change as AI tool cost expressed as a percentage of income increases across different EAD environments?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3.  </w:t>
      </w:r>
      <w:r>
        <w:rPr>
          <w:rFonts w:ascii="Calibri" w:cs="Calibri" w:eastAsia="Calibri" w:hAnsi="Calibri"/>
          <w:b w:val="false"/>
          <w:bCs w:val="false"/>
          <w:i w:val="false"/>
          <w:iCs w:val="false"/>
          <w:caps w:val="false"/>
          <w:color w:val="1C1C2E"/>
          <w:sz w:val="22"/>
          <w:szCs w:val="22"/>
        </w:rPr>
        <w:t xml:space="preserve">Assessment of the specialization adoption curve: what conditions predict whether independent businesses in critical-EAD economies progress from Level 1 to Level 3 and beyond in the proposed hierarchy?</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4.  </w:t>
      </w:r>
      <w:r>
        <w:rPr>
          <w:rFonts w:ascii="Calibri" w:cs="Calibri" w:eastAsia="Calibri" w:hAnsi="Calibri"/>
          <w:b w:val="false"/>
          <w:bCs w:val="false"/>
          <w:i w:val="false"/>
          <w:iCs w:val="false"/>
          <w:caps w:val="false"/>
          <w:color w:val="1C1C2E"/>
          <w:sz w:val="22"/>
          <w:szCs w:val="22"/>
        </w:rPr>
        <w:t xml:space="preserve">EADI validation against observable economic outcomes: AI startup formation rates, AI-sector employment, AI-related trade balances, and domestic domain-specific patent filings.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5.  </w:t>
      </w:r>
      <w:r>
        <w:rPr>
          <w:rFonts w:ascii="Calibri" w:cs="Calibri" w:eastAsia="Calibri" w:hAnsi="Calibri"/>
          <w:b w:val="false"/>
          <w:bCs w:val="false"/>
          <w:i w:val="false"/>
          <w:iCs w:val="false"/>
          <w:caps w:val="false"/>
          <w:color w:val="1C1C2E"/>
          <w:sz w:val="22"/>
          <w:szCs w:val="22"/>
        </w:rPr>
        <w:t xml:space="preserve">Policy evaluation through natural experiments: the deployments of Canada's Compute Strategy, India's IndiaAI Mission, and the UK's Sovereign AI Unit provide potential opportunities to assess whether government AI infrastructure provision materially changes independent business AI cost structures and specialization rates.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6.  </w:t>
      </w:r>
      <w:r>
        <w:rPr>
          <w:rFonts w:ascii="Calibri" w:cs="Calibri" w:eastAsia="Calibri" w:hAnsi="Calibri"/>
          <w:b w:val="false"/>
          <w:bCs w:val="false"/>
          <w:i w:val="false"/>
          <w:iCs w:val="false"/>
          <w:caps w:val="false"/>
          <w:color w:val="1C1C2E"/>
          <w:sz w:val="22"/>
          <w:szCs w:val="22"/>
        </w:rPr>
        <w:t xml:space="preserve">Cross-disciplinary extension: testing the Specialized Digital Asset hierarchy against existing frameworks in knowledge management, intangible capital accounting, and dynamic capabilities research.</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CONCLUSION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Modern economies have historically accumulated wealth through the ownership of productive assets. In the industrial era, that meant land, machinery, and physical infrastructure. In the knowledge economy, it has increasingly meant brands, patents, networks, and proprietary information systems. As the cost of acquiring many traditional productive assets continues to rise, and as digital tools become more widely available, Specialized Digital Assets offer an increasingly accessible path for independent businesses to create enduring enterprise value.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evidence assembled in this paper suggests that high AI adoption, in the absence of corresponding Specialized Digital Asset development, is associated with a specific and compounding financial risk. Independent businesses in high-dependence economies absorb substantially higher income-adjusted AI operating costs, face price trajectory uncertainty without domestic alternatives, compete against large firms with structural cost and adoption advantages, accumulate switching costs that remove negotiating leverage, and bear amplified financial consequences when AI projects fail. These mechanisms appear to interact and reinforce one another rather than operating independently.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income-adjusted cost asymmetry is the most immediately visible dimension. The same AI tool stack costs approximately 1.5% of average annual income for a US founder and approximately 15-20% for a Brazilian founder. This is not a consequence of different pricing; it is a structural consequence of where productive AI infrastructure is owned. That structural condition holds for any general-purpose technology concentrated in foreign ownership, and its relevance does not depend on which specific platforms exist at any given point in time.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sector evidence is the most strategically significant. At the intersection of Critical AI Dependence and Critical EAD, all five financial mechanisms appear to operate simultaneously. The IT services sectors in high-dependence economies illustrate a particular challenge: the businesses most exposed to structural automation risk are paying for access to the same general-purpose platforms generating that risk, without developing the domain-specific intelligence that would distinguish their services from what any client could obtain independently from those platforms.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Specialized Digital Asset framework is the most enduring output of this research, precisely because it does not depend on the continued existence of any particular AI tool or platform. General-purpose AI capability is commoditising. The performance gap between frontier proprietary models and open-weight alternatives has narrowed substantially, and this convergence is likely to continue. As general-purpose AI capability becomes available at lower marginal cost, competitive advantage is likely to shift toward the businesses that have encoded specific knowledge, relationships, and expertise into owned domain assets that are difficult to replicate. That shift would reward the businesses that have invested in specialization rather than those that have merely adopted the most advanced general tools.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long-term objective is not to minimise the use of external AI, nor to replace it entirely. General-purpose AI infrastructure is valuable and should be used. The objective is to ensure that dependence on rented intelligence gradually evolves into ownership of specialised, defensible digital assets. That transition represents both an economic strategy for individual businesses and a broader pathway toward greater resilience in digitally intensive economies.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Innovation has historically rewarded those who transform widely available infrastructure into unique, owned sources of value. Artificial intelligence should be viewed through the same economic lens. The future competitive advantage of independent businesses will depend less on consuming the most advanced AI and more on building Specialized Digital Assets that embody their unique expertise, relationships, and accumulated knowledge.</w:t>
      </w:r>
    </w:p>
    <w:p>
      <w:pPr>
        <w:spacing w:after="120" w:before="80"/>
      </w:pPr>
    </w:p>
    <w:p>
      <w:pPr>
        <w:shd w:fill="1B3A6B" w:val="clear"/>
        <w:spacing w:after="240" w:before="240"/>
        <w:ind w:left="440" w:right="440"/>
        <w:jc w:val="left"/>
      </w:pPr>
      <w:r>
        <w:rPr>
          <w:rFonts w:ascii="Calibri" w:cs="Calibri" w:eastAsia="Calibri" w:hAnsi="Calibri"/>
          <w:b/>
          <w:bCs/>
          <w:i w:val="false"/>
          <w:iCs w:val="false"/>
          <w:caps w:val="false"/>
          <w:color w:val="FFFFFF"/>
          <w:sz w:val="22"/>
          <w:szCs w:val="22"/>
        </w:rPr>
        <w:t xml:space="preserve">Use general-purpose AI as productive infrastructure. Build and own the Specialized Digital Assets that encode what is uniquely yours.</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APPENDIX A: DEFINITIONS</w:t>
      </w:r>
    </w:p>
    <w:p>
      <w:pPr>
        <w:spacing w:after="60" w:before="200"/>
      </w:pPr>
      <w:r>
        <w:rPr>
          <w:rFonts w:ascii="Calibri" w:cs="Calibri" w:eastAsia="Calibri" w:hAnsi="Calibri"/>
          <w:b/>
          <w:bCs/>
          <w:i w:val="false"/>
          <w:iCs w:val="false"/>
          <w:caps w:val="false"/>
          <w:color w:val="1B3A6B"/>
          <w:sz w:val="20"/>
          <w:szCs w:val="20"/>
        </w:rPr>
        <w:t xml:space="preserve">Table A-1.  </w:t>
      </w:r>
      <w:r>
        <w:rPr>
          <w:rFonts w:ascii="Calibri" w:cs="Calibri" w:eastAsia="Calibri" w:hAnsi="Calibri"/>
          <w:b w:val="false"/>
          <w:bCs w:val="false"/>
          <w:i/>
          <w:iCs/>
          <w:caps w:val="false"/>
          <w:color w:val="3D5166"/>
          <w:sz w:val="20"/>
          <w:szCs w:val="20"/>
        </w:rPr>
        <w:t xml:space="preserve">Key Terms Defined in This Paper</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2200"/>
        <w:gridCol w:w="5200"/>
        <w:gridCol w:w="1672"/>
      </w:tblGrid>
      <w:tr>
        <w:trPr>
          <w:tblHeader/>
        </w:trPr>
        <w:tc>
          <w:tcPr>
            <w:tcW w:type="dxa" w:w="2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Term</w:t>
            </w:r>
          </w:p>
        </w:tc>
        <w:tc>
          <w:tcPr>
            <w:tcW w:type="dxa" w:w="5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Definition</w:t>
            </w:r>
          </w:p>
        </w:tc>
        <w:tc>
          <w:tcPr>
            <w:tcW w:type="dxa" w:w="16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Original to this paper</w:t>
            </w:r>
          </w:p>
        </w:tc>
      </w:tr>
      <w:tr>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External AI Dependence (EAD)</w:t>
            </w:r>
          </w:p>
        </w:tc>
        <w:tc>
          <w:tcPr>
            <w:tcW w:type="dxa" w:w="5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degree to which an independent business's operations rely on foreign-owned AI models, cloud compute, and foundational infrastructure to remain competitive, and the recurring financial liabilities and structural operational constraints that dependence creates. Proposed as an ordinal scale: None, Low, Moderate, High, Critical.</w:t>
            </w:r>
          </w:p>
        </w:tc>
        <w:tc>
          <w:tcPr>
            <w:tcW w:type="dxa" w:w="1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Yes -- proposed analytical concept</w:t>
            </w:r>
          </w:p>
        </w:tc>
      </w:tr>
      <w:tr>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External AI Dependence Index (EADI)</w:t>
            </w:r>
          </w:p>
        </w:tc>
        <w:tc>
          <w:tcPr>
            <w:tcW w:type="dxa" w:w="5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prototype quantitative index proposed in this paper, scoring economies from 0 (complete dependence) to 100 (complete sovereignty) using five components: domestic cloud market share (25%), domestic foundation model availability (25%), sovereign compute capacity (20%), own-AI capability in high-risk sectors (20%), and AI talent retention rate (10%). Presented as Version 1.0, intended for empirical validation.</w:t>
            </w:r>
          </w:p>
        </w:tc>
        <w:tc>
          <w:tcPr>
            <w:tcW w:type="dxa" w:w="1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Yes -- proposed measurement framework</w:t>
            </w:r>
          </w:p>
        </w:tc>
      </w:tr>
      <w:tr>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Specialized Digital Assets</w:t>
            </w:r>
          </w:p>
        </w:tc>
        <w:tc>
          <w:tcPr>
            <w:tcW w:type="dxa" w:w="5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digital resources created through the application of general-purpose AI to a specific business, industry, customer base, workflow, dataset, or knowledge domain. Their value arises from specialization, ownership, and cumulative learning -- not from the underlying AI infrastructure itself. Contrasted throughout this paper with general-purpose AI infrastructure (widely available; increasingly commoditising).</w:t>
            </w:r>
          </w:p>
        </w:tc>
        <w:tc>
          <w:tcPr>
            <w:tcW w:type="dxa" w:w="1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Yes -- proposed analytical concept</w:t>
            </w:r>
          </w:p>
        </w:tc>
      </w:tr>
      <w:tr>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Dependence Classification for Sectors</w:t>
            </w:r>
          </w:p>
        </w:tc>
        <w:tc>
          <w:tcPr>
            <w:tcW w:type="dxa" w:w="5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four-level classification (Critical, High, Moderate, Minimal) describing the degree to which AI is embedded in a sector's core operations, and the associated financial survivability risk for independent businesses. Proposed in this paper for empirical validation.</w:t>
            </w:r>
          </w:p>
        </w:tc>
        <w:tc>
          <w:tcPr>
            <w:tcW w:type="dxa" w:w="1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Yes -- proposed framework</w:t>
            </w:r>
          </w:p>
        </w:tc>
      </w:tr>
      <w:tr>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Builder-Dependent Ratio</w:t>
            </w:r>
          </w:p>
        </w:tc>
        <w:tc>
          <w:tcPr>
            <w:tcW w:type="dxa" w:w="5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ratio of AI companies constructing AI infrastructure to those building exclusively on foreign-owned infrastructure within a country's ecosystem. Proposed as a complement to raw AI company counts, which may be misleading indicators of AI sovereignty in dependent economies.</w:t>
            </w:r>
          </w:p>
        </w:tc>
        <w:tc>
          <w:tcPr>
            <w:tcW w:type="dxa" w:w="1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Yes -- proposed metric</w:t>
            </w:r>
          </w:p>
        </w:tc>
      </w:tr>
      <w:tr>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Specialization Flywheel</w:t>
            </w:r>
          </w:p>
        </w:tc>
        <w:tc>
          <w:tcPr>
            <w:tcW w:type="dxa" w:w="5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proposed compounding dynamic through which Specialized Digital Asset development reduces external AI dependence: domain data accumulation improves domain-specific AI systems; improved systems increase client value; increased client value funds further specialization; deeper specialization reduces dependence on general-purpose rented infrastructure.</w:t>
            </w:r>
          </w:p>
        </w:tc>
        <w:tc>
          <w:tcPr>
            <w:tcW w:type="dxa" w:w="1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Yes -- proposed mechanism</w:t>
            </w:r>
          </w:p>
        </w:tc>
      </w:tr>
      <w:tr>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General-purpose AI infrastructure</w:t>
            </w:r>
          </w:p>
        </w:tc>
        <w:tc>
          <w:tcPr>
            <w:tcW w:type="dxa" w:w="5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models, cloud compute services, and AI productivity tools broadly available at retail pricing, not differentiated by user, and owned by foreign commercial entities in the case of dependent economies. Contrasted with Specialized Digital Assets throughout this paper.</w:t>
            </w:r>
          </w:p>
        </w:tc>
        <w:tc>
          <w:tcPr>
            <w:tcW w:type="dxa" w:w="1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Contextual framing is original</w:t>
            </w:r>
          </w:p>
        </w:tc>
      </w:tr>
      <w:tr>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Own AI</w:t>
            </w:r>
          </w:p>
        </w:tc>
        <w:tc>
          <w:tcPr>
            <w:tcW w:type="dxa" w:w="5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capability built or fine-tuned by a company on infrastructure it controls, using models it owns or openly licences. Includes domain-specific systems built on open-weight models fine-tuned on proprietary data.</w:t>
            </w:r>
          </w:p>
        </w:tc>
        <w:tc>
          <w:tcPr>
            <w:tcW w:type="dxa" w:w="1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w:t>
            </w:r>
          </w:p>
        </w:tc>
      </w:tr>
      <w:tr>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Open-weight model</w:t>
            </w:r>
          </w:p>
        </w:tc>
        <w:tc>
          <w:tcPr>
            <w:tcW w:type="dxa" w:w="5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foundation model whose weights are publicly released, allowing organisations to run, fine-tune, and deploy it without ongoing payment to the originating company. Examples include Meta's Llama series, Mistral models, Alibaba's Qwen, and DeepSeek models.</w:t>
            </w:r>
          </w:p>
        </w:tc>
        <w:tc>
          <w:tcPr>
            <w:tcW w:type="dxa" w:w="1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w:t>
            </w:r>
          </w:p>
        </w:tc>
      </w:tr>
    </w:tbl>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APPENDIX B: METHODOLOGY NOTES</w:t>
      </w:r>
    </w:p>
    <w:p>
      <w:pPr>
        <w:pStyle w:val="Heading3"/>
        <w:spacing w:after="80" w:before="280"/>
      </w:pPr>
      <w:r>
        <w:rPr>
          <w:rFonts w:ascii="Calibri" w:cs="Calibri" w:eastAsia="Calibri" w:hAnsi="Calibri"/>
          <w:b/>
          <w:bCs/>
          <w:i w:val="false"/>
          <w:iCs w:val="false"/>
          <w:caps w:val="false"/>
          <w:color w:val="3D5166"/>
          <w:sz w:val="24"/>
          <w:szCs w:val="24"/>
        </w:rPr>
        <w:t xml:space="preserve">Evidence Classification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Every quantitative statement in this paper is classified as: Category A (direct empirical evidence from primary institutional sources including US BLS, UK ONS, IMF, OECD, Stanford HAI, RAND, BCG, McKinsey, and the Federal Reserve); Category B (derived analysis with explicit stated assumptions); or Category C (forward-looking hypothesis, explicitly labelled). Where evidence is unavailable, this paper states that transparently rather than interpolating beyond available data.</w:t>
      </w:r>
    </w:p>
    <w:p>
      <w:pPr>
        <w:pStyle w:val="Heading3"/>
        <w:spacing w:after="80" w:before="280"/>
      </w:pPr>
      <w:r>
        <w:rPr>
          <w:rFonts w:ascii="Calibri" w:cs="Calibri" w:eastAsia="Calibri" w:hAnsi="Calibri"/>
          <w:b/>
          <w:bCs/>
          <w:i w:val="false"/>
          <w:iCs w:val="false"/>
          <w:caps w:val="false"/>
          <w:color w:val="3D5166"/>
          <w:sz w:val="24"/>
          <w:szCs w:val="24"/>
        </w:rPr>
        <w:t xml:space="preserve">Income Comparison Methodology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Income comparisons use gross average wages from the OECD Average Annual Wages (AAW) database, 2024 data, converted to USD using IMF IFS exchange rates (June 2026). For Brazil and India, OECD AWL figures reflect formal-sector gross wages and overstate median income due to large informal sectors; the effective burden on the median worker in these economies is higher than Tables 2-2 and 3-4 indicate.</w:t>
      </w:r>
    </w:p>
    <w:p>
      <w:pPr>
        <w:pStyle w:val="Heading3"/>
        <w:spacing w:after="80" w:before="280"/>
      </w:pPr>
      <w:r>
        <w:rPr>
          <w:rFonts w:ascii="Calibri" w:cs="Calibri" w:eastAsia="Calibri" w:hAnsi="Calibri"/>
          <w:b/>
          <w:bCs/>
          <w:i w:val="false"/>
          <w:iCs w:val="false"/>
          <w:caps w:val="false"/>
          <w:color w:val="3D5166"/>
          <w:sz w:val="24"/>
          <w:szCs w:val="24"/>
        </w:rPr>
        <w:t xml:space="preserve">Business Survival Rate Sources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US survival rates are drawn from LendingTree's analysis of US Bureau of Labor Statistics Business Employment Dynamics data (2025 publication). The BED tracks establishment-level outcomes; a company with multiple locations may survive even if one closes. UK survival rates are from the UK ONS Enterprise Survival Rate publication (November 2025 release, 2024 data). Survival rates for all other countries are OECD ranges supplemented by national statistical data and are classified as Category B (Derived).</w:t>
      </w:r>
    </w:p>
    <w:p>
      <w:pPr>
        <w:pStyle w:val="Heading3"/>
        <w:spacing w:after="80" w:before="280"/>
      </w:pPr>
      <w:r>
        <w:rPr>
          <w:rFonts w:ascii="Calibri" w:cs="Calibri" w:eastAsia="Calibri" w:hAnsi="Calibri"/>
          <w:b/>
          <w:bCs/>
          <w:i w:val="false"/>
          <w:iCs w:val="false"/>
          <w:caps w:val="false"/>
          <w:color w:val="3D5166"/>
          <w:sz w:val="24"/>
          <w:szCs w:val="24"/>
        </w:rPr>
        <w:t xml:space="preserve">EADI Methodology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EADI Version 1.0 uses five components with judgement-based weights. Component weights should be validated through expert elicitation or principal component analysis in subsequent versions. The EAD classification uses four primary inputs: domestic cloud market share held by domestic providers; existence and commercial scale of domestic foundation models; domestic sovereign compute availability at commercially relevant scale; estimated proportion of high AI-intensity sector operations using domestic versus foreign infrastructure. Country EADI rankings are robust to reasonable variations in individual component weights, but absolute scores are indicative rather than precise.</w:t>
      </w:r>
    </w:p>
    <w:p>
      <w:pPr>
        <w:pStyle w:val="Heading3"/>
        <w:spacing w:after="80" w:before="280"/>
      </w:pPr>
      <w:r>
        <w:rPr>
          <w:rFonts w:ascii="Calibri" w:cs="Calibri" w:eastAsia="Calibri" w:hAnsi="Calibri"/>
          <w:b/>
          <w:bCs/>
          <w:i w:val="false"/>
          <w:iCs w:val="false"/>
          <w:caps w:val="false"/>
          <w:color w:val="3D5166"/>
          <w:sz w:val="24"/>
          <w:szCs w:val="24"/>
        </w:rPr>
        <w:t xml:space="preserve">AI Tool Pricing</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All AI tool prices in Table 2-1 were verified against official provider pricing pages on July 5, 2026. Prices are subject to change. The structural relationships identified -- particularly income-adjusted burden differentials -- are robust to price variation within a 50% range. Absolute burden figures should be updated when significant pricing changes occur.</w:t>
      </w:r>
    </w:p>
    <w:p>
      <w:pPr>
        <w:pStyle w:val="Heading3"/>
        <w:spacing w:after="80" w:before="280"/>
      </w:pPr>
      <w:r>
        <w:rPr>
          <w:rFonts w:ascii="Calibri" w:cs="Calibri" w:eastAsia="Calibri" w:hAnsi="Calibri"/>
          <w:b/>
          <w:bCs/>
          <w:i w:val="false"/>
          <w:iCs w:val="false"/>
          <w:caps w:val="false"/>
          <w:color w:val="3D5166"/>
          <w:sz w:val="24"/>
          <w:szCs w:val="24"/>
        </w:rPr>
        <w:t xml:space="preserve">Sector Classification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AI Dependence Classification for sectors in Table 3-1 represents the author's assessment based on published AI adoption surveys (McKinsey State of AI 2025; BCG 2024/2025; Federal Reserve FEDS Notes 2026; Stanford HAI 2025/2026) and the MIT NANDA (2025) business value assessment taxonomy. Sector-level classification should be treated as indicative; individual business classification may differ depending on the specific business model and degree of AI integration.</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APPENDIX C: EVIDENCE CLASSIFICATION AUDIT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following table classifies the primary empirical claims in this paper by evidence tier, for reviewer transparency.</w:t>
      </w:r>
    </w:p>
    <w:p>
      <w:pPr>
        <w:spacing w:after="60" w:before="200"/>
      </w:pPr>
      <w:r>
        <w:rPr>
          <w:rFonts w:ascii="Calibri" w:cs="Calibri" w:eastAsia="Calibri" w:hAnsi="Calibri"/>
          <w:b/>
          <w:bCs/>
          <w:i w:val="false"/>
          <w:iCs w:val="false"/>
          <w:caps w:val="false"/>
          <w:color w:val="1B3A6B"/>
          <w:sz w:val="20"/>
          <w:szCs w:val="20"/>
        </w:rPr>
        <w:t xml:space="preserve">Table C-1.  </w:t>
      </w:r>
      <w:r>
        <w:rPr>
          <w:rFonts w:ascii="Calibri" w:cs="Calibri" w:eastAsia="Calibri" w:hAnsi="Calibri"/>
          <w:b w:val="false"/>
          <w:bCs w:val="false"/>
          <w:i/>
          <w:iCs/>
          <w:caps w:val="false"/>
          <w:color w:val="3D5166"/>
          <w:sz w:val="20"/>
          <w:szCs w:val="20"/>
        </w:rPr>
        <w:t xml:space="preserve">Primary Claims Evidence Classification</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4200"/>
        <w:gridCol w:w="2800"/>
        <w:gridCol w:w="2072"/>
      </w:tblGrid>
      <w:tr>
        <w:trPr>
          <w:tblHeader/>
        </w:trPr>
        <w:tc>
          <w:tcPr>
            <w:tcW w:type="dxa" w:w="4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Claim</w:t>
            </w:r>
          </w:p>
        </w:tc>
        <w:tc>
          <w:tcPr>
            <w:tcW w:type="dxa" w:w="2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Source</w:t>
            </w:r>
          </w:p>
        </w:tc>
        <w:tc>
          <w:tcPr>
            <w:tcW w:type="dxa" w:w="20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and China control ~90% of AI computing power; own all 50 top-ranked foundation models (tracked)</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CNAS Sovereign AI Index, April 2026</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AWS ~28%, Azure ~21%, GCP ~14% = approximately 63% global cloud infrastructure market</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Synergy Research Group / Statista, Q1 2026</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private AI investment: USD 109.1B (2024), USD 285.9B (2025)</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Stanford HAI AI Index 2025 and 2026</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 of new US businesses close within one year; 49% in five years; 65% in ten years</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LendingTree analysis of US BLS BED data, 2025</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UK one-year enterprise survival rate: 93.4% (2024 data)</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UK ONS Enterprise Survival Rate, November 2025</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adoption: 55% of organisations (2023), 78% (2024), 88% (2025)</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McKinsey State of AI 2025 and 2026</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OECD: AI adoption 5.6% to 14% of businesses with 10+ employees (2020-2024)</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OECD AI SME Report, December 2025</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Firms with 250+ employees adopt AI at approximately 1.5-2x the rate of smaller firms</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OECD Emerging Divides, June 2025; JP Morgan Chase Institute, April 2026</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More than 80% of enterprise AI projects fail to deliver intended business value</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RAND Corporation, 2024</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 of generative AI pilots show no measurable P&amp;L return</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MIT Project NANDA, 2025</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 of companies abandoned most AI initiatives in 2025 (up from 17% in 2024)</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S&amp;P Global Market Intelligence, 2025</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~130 sovereign AI projects across 50+ countries by January 2026 (up from ~40 in 2024)</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Lawfare, February 2026; CNAS, April 2026</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Open-weight vs frontier model performance gap: ~8% to ~1.7% on selected benchmarks (one year)</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Stanford HAI AI Index 2025</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OpenAI raised USD 40B in early 2025 at USD 300B valuation</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State of AI 2026 / Crunchbase</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Annual AI tool stack cost: approximately USD 1,131/year (lean stack, July 2026)</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Official provider pricing pages, July 5, 2026</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Average annual wages by country</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OECD Average Annual Wages database, 2024</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 IT services sector approximately USD 250B</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NASSCOM / World Bank data, 2024</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JPY/USD moved from approximately 115 to approximately 150 since 2022</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IMF IFS exchange rate data</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EADI scores by country (Table 1-2)</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Author's derivation using component structure in Appendix B; proposed framework</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Own / Govt / External AI percentage splits (Table 3-3)</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CNAS, McKinsey, Lawfare, Oxford Insights, UK DSIT; see Appendix B</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Survival rate ranges for countries other than US and UK (Table 3-4)</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OECD ranges and national statistics; see Appendix B</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Dependence Classification sector assignments (Table 3-1)</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Author's assessment; consistent with McKinsey, MIT NANDA; see Appendix B; proposed framework</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Builder:Dependent ratio estimates by country (Table 3-5)</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Author's derivation from company count and classification data; proposed metric</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Post-AI survival pressure assessments (Table 3-4)</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Directional assessment based on five documented financial mechanisms; not quantitative forecasts</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subscription prices are structurally below cost of delivery (SemiAnalysis, 2026)</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SemiAnalysis, 2026 (cited; not independently verified by the author)</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open-weight models costs USD 100-5,000</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Hugging Face, Replicate provider documentation, July 2026</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4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Specialization Flywheel reduces EAD exposure over time</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Proposed theoretical mechanism; draws on resource-based theory, dynamic capabilities, and learning-by-doing economics</w:t>
            </w:r>
          </w:p>
        </w:tc>
        <w:tc>
          <w:tcPr>
            <w:tcW w:type="dxa" w:w="2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 -- Proposed framework</w:t>
            </w:r>
          </w:p>
        </w:tc>
      </w:tr>
      <w:tr>
        <w:tc>
          <w:tcPr>
            <w:tcW w:type="dxa" w:w="4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General-purpose AI capability will continue commoditising; competitive advantage will shift to specialization</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Forward-looking inference from performance convergence trends and established economic theory</w:t>
            </w:r>
          </w:p>
        </w:tc>
        <w:tc>
          <w:tcPr>
            <w:tcW w:type="dxa" w:w="2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 -- Hypothesis</w:t>
            </w:r>
          </w:p>
        </w:tc>
      </w:tr>
    </w:tbl>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REFERENCES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References follow APA 7th edition format. Primary institutional sources are listed first, followed by academic literature.</w:t>
      </w:r>
    </w:p>
    <w:p>
      <w:pPr>
        <w:spacing w:after="120" w:before="40"/>
      </w:pPr>
    </w:p>
    <w:p>
      <w:pPr>
        <w:spacing w:after="60" w:before="220" w:line="298" w:lineRule="auto"/>
        <w:contextualSpacing/>
        <w:jc w:val="both"/>
      </w:pPr>
      <w:r>
        <w:rPr>
          <w:rFonts w:ascii="Calibri" w:cs="Calibri" w:eastAsia="Calibri" w:hAnsi="Calibri"/>
          <w:b/>
          <w:bCs/>
          <w:i w:val="false"/>
          <w:iCs w:val="false"/>
          <w:caps/>
          <w:color w:val="3D5166"/>
          <w:spacing w:val="40"/>
          <w:sz w:val="18"/>
          <w:szCs w:val="18"/>
        </w:rPr>
        <w:t xml:space="preserve">PRIMARY INSTITUTIONAL SOURCES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Agarwal, S. (2026). External AI dependence and startup financial survivability. triNetra Research Working Paper EAD-2026-01.</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BCG. (2024, October). Where's the value in AI? Boston Consulting Group. https://www.bcg.com/publications/2024/wheres-the-value-in-ai</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BCG. (2025, September). The widening AI value gap. Boston Consulting Group.</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BCG. (2026, March). For most countries, AI sovereignty is an illusion. Resilience is real. https://www.bcg.com/publications/2026/ai-sovereignty-is-an-illusion-resilience-is-real</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CNAS. (2026, April). Sovereign AI Index. Center for a New American Security. https://interactives.cnas.org/reports/sovereign-ai-index/</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Council of Economic Advisers. (2026, January). Artificial intelligence and the great divergence. https://www.whitehouse.gov/wp-content/uploads/2026/01/Artificial-Intelligence-and-the-Great-Divergence-5.pdf</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EY. (2025, November). AI-powered growth: GenAI spurs US economic performance. https://www.ey.com/en_us/insights/ai/ai-powered-growth</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Federal Reserve Board. (2025, October). The state of AI competition in advanced economies. FEDS Notes. https://www.federalreserve.gov/econres/notes/feds-notes/the-state-of-ai-competition-in-advanced-economies-20251006.htm</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Federal Reserve Board. (2026, April). Monitoring AI adoption in the US economy. FEDS Notes. https://www.federalreserve.gov/econres/notes/feds-notes/monitoring-ai-adoption-in-the-u-s-economy-20260403.htm</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IMF. (2024). Gen-AI: Artificial intelligence and the future of work. IMF Staff Discussion Note SDN/2024/001. https://www.imf.org/en/publications/staff-discussion-notes/issues/2024/01/14/</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IMF. (2025, April). AI adoption and inequality. IMF Working Paper WP/25/68. https://www.imf.org/en/Publications/WP/Issues/2025/04/04/AI-Adoption-and-Inequality-565729</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JP Morgan Chase Institute. (2026, April). Understanding the use of AI among small businesses. https://www.jpmorganchase.com/institute/all-topics/business-growth-and-entrepreneurship/</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Lawfare. (2024, November). Sovereign AI in a hybrid world. https://www.lawfaremedia.org/article/sovereign-ai-in-a-hybrid-world</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Lawfare. (2026, February). The sovereignty gap in U.S. AI statecraft. https://www.lawfaremedia.org/article/the-sovereignty-gap-in-u.s.-ai-statecraft</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LendingTree. (2025, April). 22.1% of new US businesses close within a year. https://www.lendingtree.com/business/small/failure-rate/</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McKinsey &amp; Company. (2025, December). The sovereign AI agenda: Moving from ambition to reality. https://www.mckinsey.com/capabilities/tech-and-ai/our-insights/tech-forward/</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McKinsey Global Institute. (2025). State of AI 2025. McKinsey &amp; Company.</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MIT Project NANDA. (2025). The GenAI divide: State of AI in business 2025.</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OECD. (2025, June). Emerging divides in the transition to artificial intelligence. https://www.oecd.org/content/dam/oecd/en/publications/reports/2025/06/</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OECD. (2025, December). AI adoption by small and medium-sized enterprises. https://www.oecd.org/content/dam/oecd/en/publications/reports/2025/12/</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Oxford Insights. (2025, December). Government AI Readiness Index 2025. https://oxfordinsights.com/ai-readiness/government-ai-readiness-index-2025/</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PIIE. (2026, May). Where is AI in GDP statistics? https://www.piie.com/publications/policy-briefs/2026/where-ai-gdp-statistics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RAND Corporation. (2024). The root causes of failure for AI projects. RAND Corporation.</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S&amp;P Global Market Intelligence. (2025). Voice of the enterprise AI survey.</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Stanford HAI. (2025). AI Index Report 2025. https://hai.stanford.edu/ai-index/2025-ai-index-report</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Stanford HAI. (2026). AI Index Report 2026. https://hai.stanford.edu/ai-index/2026-ai-index-report</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Synergy Research Group. (2026, Q1). Cloud infrastructure market share [Data release]. Retrieved July 2026.</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UK Department for Science, Innovation and Technology. (2025, September). Artificial intelligence sector study 2024. https://www.gov.uk/government/publications/artificial-intelligence-sector-study-2024</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UK Office for National Statistics. (2025, November). Survival rate of new enterprises in the United Kingdom, 2024. ONS.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US Bureau of Labor Statistics. (2025). Business Employment Dynamics. https://www.bls.gov/bdm/</w:t>
      </w:r>
    </w:p>
    <w:p>
      <w:pPr>
        <w:spacing w:after="120" w:before="80"/>
      </w:pPr>
    </w:p>
    <w:p>
      <w:pPr>
        <w:spacing w:after="60" w:before="220" w:line="298" w:lineRule="auto"/>
        <w:contextualSpacing/>
        <w:jc w:val="both"/>
      </w:pPr>
      <w:r>
        <w:rPr>
          <w:rFonts w:ascii="Calibri" w:cs="Calibri" w:eastAsia="Calibri" w:hAnsi="Calibri"/>
          <w:b/>
          <w:bCs/>
          <w:i w:val="false"/>
          <w:iCs w:val="false"/>
          <w:caps/>
          <w:color w:val="3D5166"/>
          <w:spacing w:val="40"/>
          <w:sz w:val="18"/>
          <w:szCs w:val="18"/>
        </w:rPr>
        <w:t xml:space="preserve">ACADEMIC LITERATURE</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Acemoglu, D. (2024). The simple macroeconomics of AI. Economic Policy, 40(121), 13-58. https://doi.org/10.1093/epolic/eiae004</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Arrow, K. J. (1962). The economic implications of learning by doing. Review of Economic Studies, 29(3), 155-173. https://doi.org/10.2307/2295952</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Audretsch, D. B., &amp; Mahmood, T. (1995). New firm survival: New results using a hazard function. Review of Economics and Statistics, 77(1), 97-103.</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Barney, J. (1991). Firm resources and sustained competitive advantage. Journal of Management, 17(1), 99-120. https://doi.org/10.1177/014920639101700108</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Benlian, A., &amp; Hess, T. (2011). Opportunities and risks of software-as-a-service. Decision Support Systems, 52(1), 232-246.</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Calvino, F., Haerle, P., &amp; Liu, X. (2024). AI adoption, productivity and skills (OECD Working Paper). OECD.</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Dunne, T., Roberts, M. J., &amp; Samuelson, L. (1988). Patterns of firm entry and exit in US manufacturing industries. RAND Journal of Economics, 19(4), 495-515.</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Eisenmann, T., Parker, G., &amp; Van Alstyne, M. W. (2006). Strategies for two-sided markets. Harvard Business Review, 84(10), 92-101.</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Geroski, P. A. (1995). What do we know about entry? International Journal of Industrial Organization, 13(4), 421-440.</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Griliches, Z. (1957). Hybrid corn: An exploration in the economics of technological change. Econometrica, 25(4), 501-522.</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Hall, B. H., &amp; Mairesse, J. (1995). Exploring the relationship between R&amp;D and productivity in French manufacturing firms. Journal of Econometrics, 65(1), 263-293. https://doi.org/10.1016/0304-4076(94)01604-X</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Mansfield, E. (1961). Technical change and the rate of imitation. Econometrica, 29(4), 741-766.</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Parker, G. G., &amp; Van Alstyne, M. W. (2005). Two-sided network effects: A theory of information product design. Management Science, 51(10), 1494-1504.</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Parker, G., Van Alstyne, M., &amp; Choudary, S. P. (2016). Platform revolution. W. W. Norton.</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Prebisch, R. (1950). The economic development of Latin America and its principal problems. United Nations.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Rochet, J. C., &amp; Tirole, J. (2003). Platform competition in two-sided markets. Journal of the European Economic Association, 1(4), 990-1029.</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Rogers, E. M. (1962). Diffusion of innovations. Free Press.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Romer, P. M. (1990). Endogenous technological change. Journal of Political Economy, 98(5), S71-S102. https://doi.org/10.1086/261725</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Singer, H. W. (1950). The distribution of gains between investing and borrowing countries. American Economic Review, 40(2), 473-485.</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Teece, D. J., Pisano, G., &amp; Shuen, A. (1997). Dynamic capabilities and strategic management. Strategic Management Journal, 18(7), 509-533. https://doi.org/10.1002/(SICI)1097-0266(199708)18:7&lt;509::AID-SMJ882&gt;3.0.CO;2-Z</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Wernerfelt, B. (1984). A resource-based view of the firm. Strategic Management Journal, 5(2), 171-180. https://doi.org/10.1002/smj.4250050207</w:t>
      </w:r>
    </w:p>
    <w:p>
      <w:pPr>
        <w:spacing w:after="120" w:before="80"/>
      </w:pPr>
    </w:p>
    <w:p>
      <w:pPr>
        <w:pBdr>
          <w:bottom w:val="single" w:color="EBF0F5" w:sz="4"/>
        </w:pBdr>
        <w:spacing w:after="160" w:before="160"/>
      </w:pPr>
    </w:p>
    <w:p>
      <w:pPr>
        <w:spacing w:after="120" w:before="40"/>
      </w:pPr>
    </w:p>
    <w:p>
      <w:pPr>
        <w:spacing w:after="40" w:before="0" w:line="298" w:lineRule="auto"/>
        <w:contextualSpacing/>
        <w:jc w:val="center"/>
      </w:pPr>
      <w:r>
        <w:rPr>
          <w:rFonts w:ascii="Calibri" w:cs="Calibri" w:eastAsia="Calibri" w:hAnsi="Calibri"/>
          <w:b w:val="false"/>
          <w:bCs w:val="false"/>
          <w:i/>
          <w:iCs/>
          <w:caps w:val="false"/>
          <w:color w:val="6B7C93"/>
          <w:sz w:val="18"/>
          <w:szCs w:val="18"/>
        </w:rPr>
        <w:t xml:space="preserve">External AI Dependence and Startup Financial Survivability  |  Shubham Agarwal  |  triNetra Research  |  Working Paper EAD-2026-01  |  July 2026</w:t>
      </w:r>
    </w:p>
    <w:p>
      <w:pPr>
        <w:spacing w:after="0" w:before="0" w:line="298" w:lineRule="auto"/>
        <w:contextualSpacing/>
        <w:jc w:val="center"/>
      </w:pPr>
      <w:r>
        <w:rPr>
          <w:rFonts w:ascii="Calibri" w:cs="Calibri" w:eastAsia="Calibri" w:hAnsi="Calibri"/>
          <w:b w:val="false"/>
          <w:bCs w:val="false"/>
          <w:i/>
          <w:iCs/>
          <w:caps w:val="false"/>
          <w:color w:val="6B7C93"/>
          <w:sz w:val="18"/>
          <w:szCs w:val="18"/>
        </w:rPr>
        <w:t xml:space="preserve">All data sourced from publicly available primary research. Analytical frameworks are original proposals by the author and are intended for empirical validation. This working paper may be cited with full attribution.</w:t>
      </w:r>
    </w:p>
    <w:sectPr>
      <w:headerReference w:type="default" r:id="rId7"/>
      <w:footerReference w:type="default" r:id="rId8"/>
      <w:pgSz w:w="11906" w:h="16838" w:orient="portrait"/>
      <w:pgMar w:top="1200" w:right="1260" w:bottom="12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BF0F5" w:sz="4"/>
      </w:pBdr>
      <w:jc w:val="center"/>
    </w:pPr>
    <w:r>
      <w:rPr>
        <w:rFonts w:ascii="Calibri" w:cs="Calibri" w:eastAsia="Calibri" w:hAnsi="Calibri"/>
        <w:b w:val="false"/>
        <w:bCs w:val="false"/>
        <w:i w:val="false"/>
        <w:iCs w:val="false"/>
        <w:caps w:val="false"/>
        <w:color w:val="6B7C93"/>
        <w:sz w:val="16"/>
        <w:szCs w:val="16"/>
      </w:rPr>
      <w:t xml:space="preserve">For institutional and policy use.  |  triNetra Research  |  All data from publicly available primary sources  |  July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BF0F5" w:sz="4"/>
      </w:pBdr>
      <w:spacing w:after="0"/>
    </w:pPr>
    <w:r>
      <w:rPr>
        <w:rFonts w:ascii="Calibri" w:cs="Calibri" w:eastAsia="Calibri" w:hAnsi="Calibri"/>
        <w:b/>
        <w:bCs/>
        <w:i w:val="false"/>
        <w:iCs w:val="false"/>
        <w:caps w:val="false"/>
        <w:color w:val="1B3A6B"/>
        <w:spacing w:val="30"/>
        <w:sz w:val="16"/>
        <w:szCs w:val="16"/>
      </w:rPr>
      <w:t xml:space="preserve">EXTERNAL AI DEPENDENCE AND STARTUP FINANCIAL SURVIVABILITY</w:t>
    </w:r>
    <w:r>
      <w:rPr>
        <w:rFonts w:ascii="Calibri" w:cs="Calibri" w:eastAsia="Calibri" w:hAnsi="Calibri"/>
        <w:b w:val="false"/>
        <w:bCs w:val="false"/>
        <w:i w:val="false"/>
        <w:iCs w:val="false"/>
        <w:caps w:val="false"/>
        <w:color w:val="6B7C93"/>
        <w:sz w:val="16"/>
        <w:szCs w:val="16"/>
      </w:rPr>
      <w:t xml:space="preserve">  |  Agarwal (2026)  |  Working Paper EAD-2026-01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AI Dependence and Startup Financial Survivability</dc:title>
  <dc:creator>Shubham Agarwal</dc:creator>
  <dc:description>Working Paper EAD-2026-01 — Final Publication Edition, triNetra Research, July 2026</dc:description>
  <cp:lastModifiedBy>Un-named</cp:lastModifiedBy>
  <cp:revision>1</cp:revision>
  <dcterms:created xsi:type="dcterms:W3CDTF">2026-07-05T15:56:38.657Z</dcterms:created>
  <dcterms:modified xsi:type="dcterms:W3CDTF">2026-07-05T15:56:38.669Z</dcterms:modified>
</cp:coreProperties>
</file>

<file path=docProps/custom.xml><?xml version="1.0" encoding="utf-8"?>
<Properties xmlns="http://schemas.openxmlformats.org/officeDocument/2006/custom-properties" xmlns:vt="http://schemas.openxmlformats.org/officeDocument/2006/docPropsVTypes"/>
</file>